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lang w:val="en-US" w:eastAsia="zh-CN"/>
        </w:rPr>
      </w:pPr>
      <w:bookmarkStart w:id="21" w:name="_GoBack"/>
      <w:bookmarkEnd w:id="21"/>
      <w:r>
        <w:rPr>
          <w:rFonts w:hint="eastAsia" w:ascii="黑体" w:hAnsi="黑体" w:eastAsia="黑体" w:cs="黑体"/>
          <w:b/>
          <w:color w:val="000000"/>
          <w:sz w:val="52"/>
          <w:szCs w:val="52"/>
          <w:lang w:val="en-US" w:eastAsia="zh-CN"/>
        </w:rPr>
        <w:t>合江县金龙云海E2.E3地块项目</w:t>
      </w:r>
    </w:p>
    <w:p>
      <w:pPr>
        <w:jc w:val="center"/>
        <w:rPr>
          <w:rFonts w:ascii="黑体" w:hAnsi="黑体" w:eastAsia="黑体" w:cs="黑体"/>
          <w:b/>
          <w:color w:val="000000"/>
          <w:sz w:val="28"/>
        </w:rPr>
      </w:pPr>
      <w:r>
        <w:rPr>
          <w:rFonts w:hint="eastAsia" w:ascii="黑体" w:hAnsi="黑体" w:eastAsia="黑体" w:cs="黑体"/>
          <w:b/>
          <w:color w:val="000000"/>
          <w:sz w:val="52"/>
          <w:szCs w:val="52"/>
          <w:lang w:val="en-US" w:eastAsia="zh-CN"/>
        </w:rPr>
        <w:t>成品天沟采购</w:t>
      </w: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3"/>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合江县国瑞港埠有限公司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4</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合江县国瑞港埠有限公司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 xml:space="preserve"> 合江县金龙云海E2.E3地块项目成品天沟采购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ind w:firstLine="420" w:firstLineChars="200"/>
        <w:jc w:val="both"/>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合江县金龙云海E2.E3地块项目成品天沟采购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color w:val="000000"/>
          <w:szCs w:val="21"/>
          <w:lang w:val="en-US"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采购</w:t>
      </w:r>
      <w:r>
        <w:rPr>
          <w:rFonts w:hint="eastAsia" w:ascii="仿宋" w:hAnsi="仿宋" w:eastAsia="仿宋" w:cs="仿宋"/>
          <w:color w:val="auto"/>
          <w:sz w:val="21"/>
          <w:szCs w:val="21"/>
          <w:highlight w:val="none"/>
          <w:lang w:val="en-US" w:eastAsia="zh-CN"/>
        </w:rPr>
        <w:t>金属落水系统成品天沟、天沟管件、</w:t>
      </w:r>
      <w:r>
        <w:rPr>
          <w:rFonts w:hint="eastAsia" w:ascii="仿宋" w:hAnsi="仿宋" w:eastAsia="仿宋" w:cs="仿宋"/>
          <w:color w:val="auto"/>
          <w:sz w:val="22"/>
          <w:szCs w:val="22"/>
          <w:highlight w:val="none"/>
          <w:lang w:val="en-US" w:eastAsia="zh-CN"/>
        </w:rPr>
        <w:t>钢筋混凝土烟道一批</w:t>
      </w:r>
      <w:r>
        <w:rPr>
          <w:rFonts w:hint="eastAsia"/>
          <w:color w:val="000000"/>
          <w:szCs w:val="21"/>
          <w:lang w:val="en-US" w:eastAsia="zh-CN"/>
        </w:rPr>
        <w:t>，</w:t>
      </w:r>
    </w:p>
    <w:p>
      <w:pPr>
        <w:spacing w:line="336" w:lineRule="auto"/>
        <w:ind w:firstLine="420" w:firstLineChars="200"/>
        <w:rPr>
          <w:rFonts w:hint="eastAsia" w:eastAsiaTheme="minorEastAsia"/>
          <w:color w:val="000000"/>
          <w:szCs w:val="21"/>
          <w:lang w:eastAsia="zh-CN"/>
        </w:rPr>
      </w:pPr>
      <w:r>
        <w:rPr>
          <w:rFonts w:hint="eastAsia"/>
          <w:color w:val="000000"/>
          <w:szCs w:val="21"/>
          <w:lang w:val="en-US" w:eastAsia="zh-CN"/>
        </w:rPr>
        <w:t>暂估价273292.5元。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5</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   6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合江县国瑞港埠有限公司</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18982462186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4</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28</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2"/>
        <w:spacing w:line="240" w:lineRule="auto"/>
        <w:ind w:firstLine="420"/>
        <w:rPr>
          <w:szCs w:val="21"/>
        </w:rPr>
      </w:pPr>
      <w:bookmarkStart w:id="5" w:name="_Toc213496267"/>
      <w:bookmarkStart w:id="6" w:name="_Toc213397009"/>
      <w:bookmarkStart w:id="7" w:name="_Toc213396945"/>
      <w:bookmarkStart w:id="8" w:name="_Toc213396759"/>
      <w:bookmarkStart w:id="9" w:name="_Toc217446031"/>
    </w:p>
    <w:p>
      <w:pPr>
        <w:pStyle w:val="4"/>
        <w:keepNext w:val="0"/>
        <w:keepLines w:val="0"/>
        <w:numPr>
          <w:ilvl w:val="0"/>
          <w:numId w:val="1"/>
        </w:numPr>
        <w:spacing w:before="0" w:after="0" w:line="240" w:lineRule="auto"/>
        <w:jc w:val="center"/>
        <w:rPr>
          <w:rFonts w:cs="宋体"/>
          <w:kern w:val="2"/>
          <w:sz w:val="32"/>
          <w:szCs w:val="32"/>
        </w:rPr>
      </w:pPr>
      <w:bookmarkStart w:id="10" w:name="_Toc5869721"/>
      <w:bookmarkStart w:id="11" w:name="_Toc26975439"/>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合江县国瑞港埠有限公司  地址： 合江县张湾园区粮油储备库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合江县金龙云海E2.E3地块成品天沟采购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35"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暂估总价最高限价273292.5元（大写：贰拾柒万叁仟贰佰玖拾贰元伍角整）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hint="eastAsia" w:asciiTheme="minorEastAsia" w:hAnsiTheme="minorEastAsia" w:eastAsiaTheme="minorEastAsia" w:cstheme="minorEastAsia"/>
          <w:kern w:val="2"/>
          <w:sz w:val="21"/>
          <w:szCs w:val="21"/>
        </w:rPr>
      </w:pPr>
    </w:p>
    <w:p>
      <w:pPr>
        <w:rPr>
          <w:rFonts w:hint="eastAsia"/>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0"/>
        </w:numPr>
        <w:ind w:leftChars="0"/>
        <w:jc w:val="center"/>
        <w:rPr>
          <w:rStyle w:val="32"/>
          <w:rFonts w:hint="eastAsia"/>
          <w:sz w:val="32"/>
          <w:szCs w:val="32"/>
          <w:lang w:val="en-US" w:eastAsia="zh-CN"/>
        </w:rPr>
      </w:pPr>
      <w:r>
        <w:br w:type="page"/>
      </w:r>
      <w:bookmarkStart w:id="13" w:name="_Toc324"/>
      <w:r>
        <w:rPr>
          <w:rStyle w:val="32"/>
          <w:rFonts w:hint="eastAsia" w:ascii="Times New Roman" w:hAnsi="Times New Roman" w:eastAsia="宋体" w:cs="Times New Roman"/>
          <w:sz w:val="32"/>
          <w:szCs w:val="32"/>
          <w:lang w:val="en-US" w:eastAsia="zh-CN"/>
        </w:rPr>
        <w:t xml:space="preserve">第四章 </w:t>
      </w:r>
      <w:r>
        <w:rPr>
          <w:rStyle w:val="32"/>
          <w:rFonts w:hint="eastAsia"/>
          <w:sz w:val="32"/>
          <w:szCs w:val="32"/>
          <w:lang w:val="en-US" w:eastAsia="zh-CN"/>
        </w:rPr>
        <w:t>合同条款及格式</w:t>
      </w:r>
      <w:bookmarkEnd w:id="13"/>
    </w:p>
    <w:p>
      <w:pPr>
        <w:spacing w:line="240" w:lineRule="atLeast"/>
        <w:jc w:val="center"/>
        <w:rPr>
          <w:rFonts w:hint="eastAsia" w:ascii="仿宋" w:hAnsi="仿宋" w:eastAsia="仿宋" w:cs="Times New Roman"/>
          <w:b/>
          <w:sz w:val="72"/>
          <w:szCs w:val="72"/>
          <w:lang w:val="en-US" w:eastAsia="zh-CN"/>
        </w:rPr>
      </w:pPr>
      <w:r>
        <w:rPr>
          <w:rFonts w:hint="eastAsia" w:ascii="仿宋" w:hAnsi="仿宋" w:eastAsia="仿宋" w:cs="Times New Roman"/>
          <w:b/>
          <w:sz w:val="72"/>
          <w:szCs w:val="72"/>
          <w:lang w:val="en-US" w:eastAsia="zh-CN"/>
        </w:rPr>
        <w:t>合江县国瑞港埠有限公司</w:t>
      </w:r>
    </w:p>
    <w:p>
      <w:pPr>
        <w:spacing w:line="240" w:lineRule="atLeast"/>
        <w:jc w:val="center"/>
        <w:rPr>
          <w:rFonts w:hint="eastAsia" w:ascii="仿宋" w:hAnsi="仿宋" w:eastAsia="仿宋"/>
          <w:color w:val="000000"/>
          <w:sz w:val="15"/>
          <w:szCs w:val="15"/>
        </w:rPr>
      </w:pPr>
      <w:r>
        <w:rPr>
          <w:rFonts w:hint="eastAsia" w:ascii="仿宋" w:hAnsi="仿宋" w:eastAsia="仿宋"/>
          <w:b/>
          <w:sz w:val="72"/>
          <w:szCs w:val="72"/>
        </w:rPr>
        <w:t>工程材料购销合同</w:t>
      </w:r>
    </w:p>
    <w:p>
      <w:pPr>
        <w:spacing w:line="240" w:lineRule="atLeast"/>
        <w:jc w:val="left"/>
        <w:rPr>
          <w:rFonts w:hint="eastAsia" w:ascii="仿宋" w:hAnsi="仿宋" w:eastAsia="仿宋"/>
          <w:color w:val="000000"/>
          <w:sz w:val="15"/>
          <w:szCs w:val="15"/>
        </w:rPr>
      </w:pPr>
    </w:p>
    <w:p>
      <w:pPr>
        <w:jc w:val="center"/>
        <w:rPr>
          <w:rFonts w:hint="eastAsia" w:ascii="仿宋" w:hAnsi="仿宋" w:eastAsia="仿宋"/>
          <w:b/>
          <w:sz w:val="36"/>
          <w:szCs w:val="36"/>
        </w:rPr>
      </w:pPr>
      <w:r>
        <w:rPr>
          <w:rFonts w:hint="eastAsia" w:ascii="仿宋" w:hAnsi="仿宋" w:eastAsia="仿宋"/>
          <w:b/>
          <w:sz w:val="36"/>
          <w:szCs w:val="36"/>
        </w:rPr>
        <w:t>工程材料购销合同</w:t>
      </w:r>
    </w:p>
    <w:p>
      <w:pPr>
        <w:ind w:firstLine="361" w:firstLineChars="100"/>
        <w:rPr>
          <w:rFonts w:hint="eastAsia" w:ascii="仿宋" w:hAnsi="仿宋" w:eastAsia="仿宋"/>
          <w:sz w:val="18"/>
          <w:u w:val="single"/>
        </w:rPr>
      </w:pPr>
      <w:r>
        <w:rPr>
          <w:rFonts w:hint="eastAsia" w:ascii="仿宋" w:hAnsi="仿宋" w:eastAsia="仿宋"/>
          <w:b/>
          <w:sz w:val="36"/>
        </w:rPr>
        <w:t xml:space="preserve">                       </w:t>
      </w:r>
      <w:r>
        <w:rPr>
          <w:rFonts w:hint="eastAsia" w:ascii="仿宋" w:hAnsi="仿宋" w:eastAsia="仿宋"/>
          <w:b/>
          <w:sz w:val="36"/>
          <w:lang w:val="en-US" w:eastAsia="zh-CN"/>
        </w:rPr>
        <w:t xml:space="preserve">              </w:t>
      </w:r>
      <w:r>
        <w:rPr>
          <w:rFonts w:hint="eastAsia" w:ascii="仿宋" w:hAnsi="仿宋" w:eastAsia="仿宋"/>
        </w:rPr>
        <w:t>合同编号：</w:t>
      </w:r>
      <w:r>
        <w:rPr>
          <w:rFonts w:hint="eastAsia" w:ascii="仿宋" w:hAnsi="仿宋" w:eastAsia="仿宋"/>
          <w:lang w:val="en-US" w:eastAsia="zh-CN"/>
        </w:rPr>
        <w:t xml:space="preserve">     </w:t>
      </w:r>
      <w:r>
        <w:rPr>
          <w:rFonts w:hint="eastAsia" w:ascii="仿宋" w:hAnsi="仿宋" w:eastAsia="仿宋"/>
          <w:sz w:val="18"/>
        </w:rPr>
        <w:t xml:space="preserve"> </w:t>
      </w:r>
    </w:p>
    <w:p>
      <w:pPr>
        <w:spacing w:line="440" w:lineRule="exact"/>
        <w:rPr>
          <w:rFonts w:ascii="仿宋" w:hAnsi="仿宋" w:eastAsia="仿宋"/>
          <w:szCs w:val="21"/>
          <w:u w:val="single"/>
        </w:rPr>
      </w:pPr>
      <w:r>
        <w:rPr>
          <w:rFonts w:hint="eastAsia" w:ascii="仿宋" w:hAnsi="仿宋" w:eastAsia="仿宋"/>
        </w:rPr>
        <w:t>甲方（需方）：</w:t>
      </w:r>
      <w:r>
        <w:rPr>
          <w:rFonts w:hint="eastAsia" w:ascii="仿宋" w:hAnsi="仿宋" w:eastAsia="仿宋" w:cs="Times New Roman"/>
          <w:b/>
          <w:bCs/>
          <w:szCs w:val="21"/>
          <w:u w:val="single"/>
          <w:lang w:val="en-US" w:eastAsia="zh-CN"/>
        </w:rPr>
        <w:t xml:space="preserve">合江县国瑞港埠有限公司     </w:t>
      </w:r>
      <w:r>
        <w:rPr>
          <w:rFonts w:hint="eastAsia" w:ascii="仿宋" w:hAnsi="仿宋" w:eastAsia="仿宋" w:cs="Times New Roman"/>
          <w:b/>
          <w:bCs/>
          <w:szCs w:val="21"/>
          <w:u w:val="none"/>
          <w:lang w:val="en-US" w:eastAsia="zh-CN"/>
        </w:rPr>
        <w:t xml:space="preserve">                     </w:t>
      </w:r>
      <w:r>
        <w:rPr>
          <w:rFonts w:hint="eastAsia" w:ascii="仿宋" w:hAnsi="仿宋" w:eastAsia="仿宋"/>
        </w:rPr>
        <w:t>签订地点：</w:t>
      </w:r>
      <w:r>
        <w:rPr>
          <w:rFonts w:hint="eastAsia" w:ascii="仿宋" w:hAnsi="仿宋" w:eastAsia="仿宋"/>
          <w:bCs/>
          <w:szCs w:val="21"/>
          <w:u w:val="single"/>
        </w:rPr>
        <w:t xml:space="preserve"> </w:t>
      </w:r>
      <w:r>
        <w:rPr>
          <w:rFonts w:hint="eastAsia" w:ascii="仿宋" w:hAnsi="仿宋" w:eastAsia="仿宋"/>
          <w:bCs/>
          <w:szCs w:val="21"/>
          <w:u w:val="single"/>
          <w:lang w:val="en-US" w:eastAsia="zh-CN"/>
        </w:rPr>
        <w:t>合江县</w:t>
      </w:r>
      <w:r>
        <w:rPr>
          <w:rFonts w:hint="eastAsia" w:ascii="仿宋" w:hAnsi="仿宋" w:eastAsia="仿宋"/>
          <w:bCs/>
          <w:szCs w:val="21"/>
          <w:u w:val="single"/>
        </w:rPr>
        <w:t xml:space="preserve">  </w:t>
      </w:r>
    </w:p>
    <w:p>
      <w:pPr>
        <w:spacing w:line="440" w:lineRule="exact"/>
        <w:rPr>
          <w:rFonts w:hint="eastAsia" w:ascii="仿宋" w:hAnsi="仿宋" w:eastAsia="仿宋"/>
        </w:rPr>
      </w:pPr>
      <w:r>
        <w:rPr>
          <w:rFonts w:hint="eastAsia" w:ascii="仿宋" w:hAnsi="仿宋" w:eastAsia="仿宋"/>
        </w:rPr>
        <w:t>乙方（供方）：</w:t>
      </w:r>
      <w:r>
        <w:rPr>
          <w:rFonts w:hint="eastAsia" w:ascii="仿宋" w:hAnsi="仿宋" w:eastAsia="仿宋" w:cs="Times New Roman"/>
          <w:b/>
          <w:bCs/>
          <w:szCs w:val="21"/>
          <w:u w:val="single"/>
          <w:lang w:val="en-US" w:eastAsia="zh-CN"/>
        </w:rPr>
        <w:t xml:space="preserve">                         </w:t>
      </w:r>
      <w:r>
        <w:rPr>
          <w:rFonts w:hint="eastAsia" w:ascii="仿宋" w:hAnsi="仿宋" w:eastAsia="仿宋" w:cs="Times New Roman"/>
          <w:b/>
          <w:bCs/>
          <w:szCs w:val="21"/>
          <w:u w:val="single"/>
        </w:rPr>
        <w:t xml:space="preserve"> </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签订时间：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 xml:space="preserve">日 </w:t>
      </w:r>
    </w:p>
    <w:p>
      <w:pPr>
        <w:spacing w:line="440" w:lineRule="exact"/>
        <w:rPr>
          <w:rFonts w:hint="default" w:ascii="仿宋" w:hAnsi="仿宋" w:eastAsia="仿宋"/>
          <w:lang w:val="en-US" w:eastAsia="zh-CN"/>
        </w:rPr>
      </w:pPr>
      <w:r>
        <w:rPr>
          <w:rFonts w:hint="eastAsia" w:ascii="仿宋" w:hAnsi="仿宋" w:eastAsia="仿宋"/>
        </w:rPr>
        <w:t>工程名称：</w:t>
      </w:r>
      <w:r>
        <w:rPr>
          <w:rFonts w:hint="eastAsia" w:ascii="仿宋" w:hAnsi="仿宋" w:eastAsia="仿宋"/>
          <w:b/>
          <w:u w:val="single"/>
          <w:lang w:val="en-US" w:eastAsia="zh-CN"/>
        </w:rPr>
        <w:t>合江县金龙云海E2、E3地块住宅项目</w:t>
      </w:r>
    </w:p>
    <w:p>
      <w:pPr>
        <w:spacing w:line="440" w:lineRule="exact"/>
        <w:rPr>
          <w:rFonts w:hint="eastAsia" w:ascii="仿宋" w:hAnsi="仿宋" w:eastAsia="仿宋"/>
        </w:rPr>
      </w:pPr>
      <w:r>
        <w:rPr>
          <w:rFonts w:hint="eastAsia" w:ascii="仿宋" w:hAnsi="仿宋" w:eastAsia="仿宋"/>
        </w:rPr>
        <w:t xml:space="preserve">    为了增加甲、乙双方的责任感，加强经济核算，提高经济效益，根据《中华人民共和国民法典》及相关法律的规定，经甲、乙双方充分协商，特签订以下合同，以便共同遵守。</w:t>
      </w:r>
    </w:p>
    <w:p>
      <w:pPr>
        <w:numPr>
          <w:ilvl w:val="0"/>
          <w:numId w:val="2"/>
        </w:numPr>
        <w:spacing w:line="440" w:lineRule="exact"/>
        <w:rPr>
          <w:rFonts w:hint="eastAsia" w:ascii="仿宋" w:hAnsi="仿宋" w:eastAsia="仿宋"/>
          <w:b/>
        </w:rPr>
      </w:pPr>
      <w:r>
        <w:rPr>
          <w:rFonts w:hint="eastAsia" w:ascii="仿宋" w:hAnsi="仿宋" w:eastAsia="仿宋"/>
          <w:b/>
        </w:rPr>
        <w:t>材料名称、规格、型号、品牌、质量等级、单位、暂定数量、单价、暂定金额和备注：</w:t>
      </w:r>
    </w:p>
    <w:tbl>
      <w:tblPr>
        <w:tblStyle w:val="17"/>
        <w:tblW w:w="10740" w:type="dxa"/>
        <w:tblInd w:w="-93" w:type="dxa"/>
        <w:tblLayout w:type="fixed"/>
        <w:tblCellMar>
          <w:top w:w="15" w:type="dxa"/>
          <w:left w:w="15" w:type="dxa"/>
          <w:bottom w:w="15" w:type="dxa"/>
          <w:right w:w="15" w:type="dxa"/>
        </w:tblCellMar>
      </w:tblPr>
      <w:tblGrid>
        <w:gridCol w:w="635"/>
        <w:gridCol w:w="1754"/>
        <w:gridCol w:w="542"/>
        <w:gridCol w:w="1334"/>
        <w:gridCol w:w="1124"/>
        <w:gridCol w:w="565"/>
        <w:gridCol w:w="831"/>
        <w:gridCol w:w="945"/>
        <w:gridCol w:w="930"/>
        <w:gridCol w:w="2080"/>
      </w:tblGrid>
      <w:tr>
        <w:tblPrEx>
          <w:tblCellMar>
            <w:top w:w="15" w:type="dxa"/>
            <w:left w:w="15" w:type="dxa"/>
            <w:bottom w:w="15" w:type="dxa"/>
            <w:right w:w="15" w:type="dxa"/>
          </w:tblCellMar>
        </w:tblPrEx>
        <w:trPr>
          <w:trHeight w:val="405"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序号</w:t>
            </w:r>
          </w:p>
        </w:tc>
        <w:tc>
          <w:tcPr>
            <w:tcW w:w="175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材料名称</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品牌</w:t>
            </w:r>
          </w:p>
        </w:tc>
        <w:tc>
          <w:tcPr>
            <w:tcW w:w="13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规格</w:t>
            </w:r>
            <w:r>
              <w:rPr>
                <w:rStyle w:val="36"/>
                <w:rFonts w:hint="eastAsia" w:ascii="仿宋" w:hAnsi="仿宋" w:eastAsia="仿宋" w:cs="仿宋"/>
                <w:sz w:val="20"/>
                <w:szCs w:val="20"/>
                <w:lang w:bidi="ar"/>
              </w:rPr>
              <w:t>/</w:t>
            </w:r>
            <w:r>
              <w:rPr>
                <w:rStyle w:val="35"/>
                <w:rFonts w:hint="eastAsia" w:ascii="仿宋" w:hAnsi="仿宋" w:eastAsia="仿宋" w:cs="仿宋"/>
                <w:sz w:val="20"/>
                <w:szCs w:val="20"/>
                <w:lang w:bidi="ar"/>
              </w:rPr>
              <w:t>型号</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lang w:eastAsia="zh-CN"/>
              </w:rPr>
            </w:pPr>
            <w:r>
              <w:rPr>
                <w:rFonts w:hint="eastAsia" w:ascii="仿宋" w:hAnsi="仿宋" w:eastAsia="仿宋" w:cs="仿宋"/>
                <w:b/>
                <w:color w:val="000000"/>
                <w:kern w:val="0"/>
                <w:sz w:val="20"/>
                <w:szCs w:val="20"/>
                <w:lang w:val="en-US" w:eastAsia="zh-CN" w:bidi="ar"/>
              </w:rPr>
              <w:t>税率</w:t>
            </w:r>
          </w:p>
        </w:tc>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单位</w:t>
            </w: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数量</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含税到场单价</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金额</w:t>
            </w: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b/>
                <w:color w:val="000000"/>
                <w:sz w:val="20"/>
                <w:szCs w:val="20"/>
              </w:rPr>
            </w:pPr>
            <w:r>
              <w:rPr>
                <w:rFonts w:hint="eastAsia" w:ascii="仿宋" w:hAnsi="仿宋" w:eastAsia="仿宋" w:cs="仿宋"/>
                <w:b/>
                <w:bCs/>
                <w:color w:val="000000"/>
                <w:kern w:val="0"/>
                <w:sz w:val="20"/>
                <w:szCs w:val="20"/>
              </w:rPr>
              <w:t>备注</w:t>
            </w:r>
          </w:p>
        </w:tc>
      </w:tr>
      <w:tr>
        <w:tblPrEx>
          <w:tblCellMar>
            <w:top w:w="15" w:type="dxa"/>
            <w:left w:w="15" w:type="dxa"/>
            <w:bottom w:w="15" w:type="dxa"/>
            <w:right w:w="15" w:type="dxa"/>
          </w:tblCellMar>
        </w:tblPrEx>
        <w:trPr>
          <w:trHeight w:val="405"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7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208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color w:val="000000"/>
                <w:sz w:val="20"/>
                <w:szCs w:val="20"/>
              </w:rPr>
            </w:pPr>
          </w:p>
        </w:tc>
      </w:tr>
      <w:tr>
        <w:tblPrEx>
          <w:tblCellMar>
            <w:top w:w="15" w:type="dxa"/>
            <w:left w:w="15" w:type="dxa"/>
            <w:bottom w:w="15" w:type="dxa"/>
            <w:right w:w="15" w:type="dxa"/>
          </w:tblCellMar>
        </w:tblPrEx>
        <w:trPr>
          <w:trHeight w:val="69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eastAsia="zh-CN"/>
              </w:rPr>
            </w:pPr>
            <w:r>
              <w:rPr>
                <w:rFonts w:hint="eastAsia" w:ascii="仿宋" w:hAnsi="仿宋" w:eastAsia="仿宋" w:cs="仿宋"/>
                <w:i w:val="0"/>
                <w:iCs w:val="0"/>
                <w:color w:val="000000"/>
                <w:kern w:val="0"/>
                <w:sz w:val="21"/>
                <w:szCs w:val="21"/>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2"/>
                <w:szCs w:val="22"/>
                <w:lang w:val="en-US" w:eastAsia="zh-CN"/>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lang w:val="en-US" w:eastAsia="zh-CN"/>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438"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16"/>
                <w:szCs w:val="16"/>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6"/>
                <w:szCs w:val="16"/>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lang w:val="en-US" w:eastAsia="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bottom"/>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312"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w:t>
            </w:r>
          </w:p>
        </w:tc>
        <w:tc>
          <w:tcPr>
            <w:tcW w:w="17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3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eastAsia="zh-CN"/>
              </w:rPr>
            </w:pP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r>
      <w:tr>
        <w:tblPrEx>
          <w:tblCellMar>
            <w:top w:w="15" w:type="dxa"/>
            <w:left w:w="15" w:type="dxa"/>
            <w:bottom w:w="15" w:type="dxa"/>
            <w:right w:w="15" w:type="dxa"/>
          </w:tblCellMar>
        </w:tblPrEx>
        <w:trPr>
          <w:trHeight w:val="405" w:hRule="atLeast"/>
        </w:trPr>
        <w:tc>
          <w:tcPr>
            <w:tcW w:w="63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Cs w:val="21"/>
                <w:lang w:val="en-US" w:eastAsia="zh-CN" w:bidi="ar"/>
              </w:rPr>
            </w:pPr>
          </w:p>
        </w:tc>
        <w:tc>
          <w:tcPr>
            <w:tcW w:w="175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lang w:val="en-US" w:eastAsia="zh-CN"/>
              </w:rPr>
            </w:pPr>
          </w:p>
        </w:tc>
        <w:tc>
          <w:tcPr>
            <w:tcW w:w="542"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18"/>
                <w:szCs w:val="18"/>
              </w:rPr>
            </w:pPr>
          </w:p>
        </w:tc>
        <w:tc>
          <w:tcPr>
            <w:tcW w:w="133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p>
        </w:tc>
        <w:tc>
          <w:tcPr>
            <w:tcW w:w="1124" w:type="dxa"/>
            <w:vMerge w:val="continue"/>
            <w:tcBorders>
              <w:left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56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18"/>
                <w:szCs w:val="18"/>
              </w:rPr>
            </w:pPr>
          </w:p>
        </w:tc>
        <w:tc>
          <w:tcPr>
            <w:tcW w:w="83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 w:val="24"/>
                <w:szCs w:val="24"/>
                <w:lang w:bidi="ar"/>
              </w:rPr>
            </w:pPr>
          </w:p>
        </w:tc>
        <w:tc>
          <w:tcPr>
            <w:tcW w:w="94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p>
        </w:tc>
        <w:tc>
          <w:tcPr>
            <w:tcW w:w="930" w:type="dxa"/>
            <w:vMerge w:val="continue"/>
            <w:tcBorders>
              <w:left w:val="single" w:color="000000" w:sz="4" w:space="0"/>
              <w:right w:val="single" w:color="000000" w:sz="4" w:space="0"/>
            </w:tcBorders>
            <w:noWrap w:val="0"/>
            <w:vAlign w:val="center"/>
          </w:tcPr>
          <w:p>
            <w:pPr>
              <w:widowControl/>
              <w:jc w:val="right"/>
              <w:textAlignment w:val="center"/>
              <w:rPr>
                <w:rFonts w:hint="eastAsia" w:ascii="仿宋" w:hAnsi="仿宋" w:eastAsia="仿宋" w:cs="宋体"/>
                <w:color w:val="000000"/>
                <w:sz w:val="24"/>
                <w:szCs w:val="24"/>
                <w:lang w:val="en-US" w:eastAsia="zh-CN"/>
              </w:rPr>
            </w:pPr>
          </w:p>
        </w:tc>
        <w:tc>
          <w:tcPr>
            <w:tcW w:w="2080" w:type="dxa"/>
            <w:vMerge w:val="continue"/>
            <w:tcBorders>
              <w:left w:val="single" w:color="000000" w:sz="4" w:space="0"/>
              <w:right w:val="single" w:color="000000" w:sz="4" w:space="0"/>
            </w:tcBorders>
            <w:noWrap w:val="0"/>
            <w:vAlign w:val="center"/>
          </w:tcPr>
          <w:p>
            <w:pPr>
              <w:jc w:val="left"/>
              <w:rPr>
                <w:rFonts w:hint="eastAsia" w:ascii="仿宋" w:hAnsi="仿宋" w:eastAsia="仿宋" w:cs="宋体"/>
                <w:color w:val="000000"/>
                <w:sz w:val="24"/>
                <w:szCs w:val="24"/>
              </w:rPr>
            </w:pPr>
          </w:p>
        </w:tc>
      </w:tr>
      <w:tr>
        <w:tblPrEx>
          <w:tblCellMar>
            <w:top w:w="15" w:type="dxa"/>
            <w:left w:w="15" w:type="dxa"/>
            <w:bottom w:w="15" w:type="dxa"/>
            <w:right w:w="15" w:type="dxa"/>
          </w:tblCellMar>
        </w:tblPrEx>
        <w:trPr>
          <w:trHeight w:val="312"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Cs w:val="21"/>
              </w:rPr>
            </w:pPr>
          </w:p>
        </w:tc>
        <w:tc>
          <w:tcPr>
            <w:tcW w:w="17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18"/>
                <w:szCs w:val="18"/>
              </w:rPr>
            </w:pPr>
          </w:p>
        </w:tc>
        <w:tc>
          <w:tcPr>
            <w:tcW w:w="1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 w:hAnsi="仿宋" w:eastAsia="仿宋" w:cs="宋体"/>
                <w:b/>
                <w:color w:val="00000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540" w:hRule="atLeast"/>
        </w:trPr>
        <w:tc>
          <w:tcPr>
            <w:tcW w:w="1074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 w:val="18"/>
                <w:szCs w:val="18"/>
              </w:rPr>
            </w:pPr>
            <w:r>
              <w:rPr>
                <w:rFonts w:hint="eastAsia" w:ascii="仿宋" w:hAnsi="仿宋" w:eastAsia="仿宋" w:cs="宋体"/>
                <w:color w:val="000000"/>
                <w:kern w:val="0"/>
                <w:szCs w:val="21"/>
              </w:rPr>
              <w:t>注：</w:t>
            </w:r>
            <w:r>
              <w:rPr>
                <w:rFonts w:hint="eastAsia" w:ascii="仿宋" w:hAnsi="仿宋" w:eastAsia="仿宋"/>
                <w:szCs w:val="21"/>
              </w:rPr>
              <w:t>合同约定的数量为暂定数量，结算以实际供货量为准。乙方不得以实际供货数量超过或低于合同暂定数量为由调整单价</w:t>
            </w:r>
            <w:r>
              <w:rPr>
                <w:rFonts w:hint="eastAsia" w:ascii="仿宋" w:hAnsi="仿宋" w:eastAsia="仿宋"/>
                <w:szCs w:val="21"/>
                <w:lang w:val="en-US" w:eastAsia="zh-CN"/>
              </w:rPr>
              <w:t>及索赔</w:t>
            </w:r>
            <w:r>
              <w:rPr>
                <w:rFonts w:hint="eastAsia" w:ascii="仿宋" w:hAnsi="仿宋" w:eastAsia="仿宋"/>
                <w:szCs w:val="21"/>
              </w:rPr>
              <w:t>。</w:t>
            </w:r>
          </w:p>
        </w:tc>
      </w:tr>
    </w:tbl>
    <w:p>
      <w:pPr>
        <w:numPr>
          <w:ilvl w:val="0"/>
          <w:numId w:val="2"/>
        </w:numPr>
        <w:spacing w:before="156" w:beforeLines="50" w:after="156" w:afterLines="50" w:line="440" w:lineRule="exact"/>
        <w:jc w:val="left"/>
        <w:textAlignment w:val="baseline"/>
        <w:rPr>
          <w:rFonts w:hint="eastAsia" w:ascii="仿宋" w:hAnsi="仿宋" w:eastAsia="仿宋"/>
          <w:sz w:val="24"/>
          <w:szCs w:val="24"/>
        </w:rPr>
      </w:pPr>
      <w:r>
        <w:rPr>
          <w:rFonts w:hint="eastAsia" w:ascii="仿宋" w:hAnsi="仿宋" w:eastAsia="仿宋"/>
          <w:b/>
        </w:rPr>
        <w:t>质量及技术标准：</w:t>
      </w:r>
      <w:r>
        <w:rPr>
          <w:rFonts w:hint="eastAsia" w:ascii="仿宋" w:hAnsi="仿宋" w:eastAsia="仿宋"/>
          <w:spacing w:val="16"/>
          <w:szCs w:val="21"/>
        </w:rPr>
        <w:t>合同中所有物资必须符合现行国家标准《建筑装饰装修工程质量验收标准》（编号为GB50210-2018）和《建筑工程施工质量验收统一标准》</w:t>
      </w:r>
      <w:r>
        <w:rPr>
          <w:rFonts w:hint="eastAsia" w:ascii="仿宋" w:hAnsi="仿宋" w:eastAsia="仿宋"/>
          <w:szCs w:val="21"/>
        </w:rPr>
        <w:t>(GB50300－2013)的相关要求，且必须符合现行的国家规范和地方性法律法规；满足国家相关规范要求和甲乙双方签字确认的封样的质量等级等。</w:t>
      </w:r>
    </w:p>
    <w:p>
      <w:pPr>
        <w:numPr>
          <w:ilvl w:val="0"/>
          <w:numId w:val="2"/>
        </w:numPr>
        <w:spacing w:before="156" w:beforeLines="50" w:after="156" w:afterLines="50" w:line="440" w:lineRule="exact"/>
        <w:jc w:val="left"/>
        <w:textAlignment w:val="baseline"/>
        <w:rPr>
          <w:rFonts w:hint="eastAsia" w:ascii="仿宋" w:hAnsi="仿宋" w:eastAsia="仿宋"/>
          <w:sz w:val="24"/>
          <w:szCs w:val="24"/>
        </w:rPr>
      </w:pPr>
      <w:r>
        <w:rPr>
          <w:rFonts w:hint="eastAsia" w:ascii="仿宋" w:hAnsi="仿宋" w:eastAsia="仿宋"/>
          <w:b/>
        </w:rPr>
        <w:t>包装标准及费用：</w:t>
      </w:r>
      <w:r>
        <w:rPr>
          <w:rFonts w:hint="eastAsia" w:ascii="仿宋" w:hAnsi="仿宋" w:eastAsia="仿宋"/>
          <w:szCs w:val="21"/>
        </w:rPr>
        <w:t>乙方应当采用标准方式或适宜货物运输的包装形式，且货物包装不作回收，若因包装不当使货物受损，由乙方承担全部责任；包装及费用均包于合同单价中。</w:t>
      </w:r>
    </w:p>
    <w:p>
      <w:pPr>
        <w:numPr>
          <w:ilvl w:val="0"/>
          <w:numId w:val="2"/>
        </w:numPr>
        <w:spacing w:line="440" w:lineRule="exact"/>
        <w:rPr>
          <w:rFonts w:hint="eastAsia" w:ascii="仿宋" w:hAnsi="仿宋" w:eastAsia="仿宋"/>
          <w:b/>
        </w:rPr>
      </w:pPr>
      <w:r>
        <w:rPr>
          <w:rFonts w:ascii="仿宋" w:hAnsi="仿宋" w:eastAsia="仿宋"/>
          <w:b/>
        </w:rPr>
        <w:t>交货</w:t>
      </w:r>
      <w:r>
        <w:rPr>
          <w:rFonts w:hint="eastAsia" w:ascii="仿宋" w:hAnsi="仿宋" w:eastAsia="仿宋"/>
          <w:b/>
        </w:rPr>
        <w:t>期限</w:t>
      </w:r>
      <w:r>
        <w:rPr>
          <w:rFonts w:ascii="仿宋" w:hAnsi="仿宋" w:eastAsia="仿宋"/>
          <w:b/>
        </w:rPr>
        <w:t>、运输方式、</w:t>
      </w:r>
      <w:r>
        <w:rPr>
          <w:rFonts w:hint="eastAsia" w:ascii="仿宋" w:hAnsi="仿宋" w:eastAsia="仿宋"/>
          <w:b/>
        </w:rPr>
        <w:t>装卸责任、</w:t>
      </w:r>
      <w:r>
        <w:rPr>
          <w:rFonts w:ascii="仿宋" w:hAnsi="仿宋" w:eastAsia="仿宋"/>
          <w:b/>
        </w:rPr>
        <w:t>交货地点</w:t>
      </w:r>
      <w:r>
        <w:rPr>
          <w:rFonts w:hint="eastAsia" w:ascii="仿宋" w:hAnsi="仿宋" w:eastAsia="仿宋"/>
          <w:b/>
        </w:rPr>
        <w:t>、接</w:t>
      </w:r>
      <w:r>
        <w:rPr>
          <w:rFonts w:ascii="仿宋" w:hAnsi="仿宋" w:eastAsia="仿宋"/>
          <w:b/>
        </w:rPr>
        <w:t>交货人</w:t>
      </w:r>
      <w:r>
        <w:rPr>
          <w:rFonts w:hint="eastAsia" w:ascii="仿宋" w:hAnsi="仿宋" w:eastAsia="仿宋"/>
          <w:b/>
        </w:rPr>
        <w:t>及联系方式：</w:t>
      </w:r>
    </w:p>
    <w:p>
      <w:pPr>
        <w:numPr>
          <w:ilvl w:val="1"/>
          <w:numId w:val="2"/>
        </w:numPr>
        <w:spacing w:line="440" w:lineRule="exact"/>
        <w:rPr>
          <w:rFonts w:hint="eastAsia" w:ascii="仿宋" w:hAnsi="仿宋" w:eastAsia="仿宋"/>
          <w:szCs w:val="21"/>
        </w:rPr>
      </w:pPr>
      <w:r>
        <w:rPr>
          <w:rFonts w:hint="eastAsia" w:ascii="仿宋" w:hAnsi="仿宋" w:eastAsia="仿宋"/>
          <w:color w:val="000000"/>
        </w:rPr>
        <w:t>交货时间：每批次交货时间以甲方通知为准</w:t>
      </w:r>
      <w:r>
        <w:rPr>
          <w:rFonts w:hint="eastAsia" w:ascii="仿宋" w:hAnsi="仿宋" w:eastAsia="仿宋"/>
          <w:color w:val="000000"/>
          <w:lang w:eastAsia="zh-CN"/>
        </w:rPr>
        <w:t>，</w:t>
      </w:r>
      <w:r>
        <w:rPr>
          <w:rFonts w:hint="eastAsia" w:ascii="仿宋" w:hAnsi="仿宋" w:eastAsia="仿宋"/>
          <w:color w:val="000000"/>
          <w:lang w:val="en-US" w:eastAsia="zh-CN"/>
        </w:rPr>
        <w:t>甲方应提前7日通知</w:t>
      </w:r>
      <w:r>
        <w:rPr>
          <w:rFonts w:hint="eastAsia" w:ascii="仿宋" w:hAnsi="仿宋" w:eastAsia="仿宋"/>
          <w:color w:val="000000"/>
        </w:rPr>
        <w:t>，将货物送到甲方工地现场或甲方指定的交货地点。</w:t>
      </w:r>
    </w:p>
    <w:p>
      <w:pPr>
        <w:numPr>
          <w:ilvl w:val="1"/>
          <w:numId w:val="2"/>
        </w:numPr>
        <w:spacing w:line="440" w:lineRule="exact"/>
        <w:rPr>
          <w:rFonts w:hint="eastAsia" w:ascii="仿宋" w:hAnsi="仿宋" w:eastAsia="仿宋"/>
          <w:szCs w:val="21"/>
        </w:rPr>
      </w:pPr>
      <w:r>
        <w:rPr>
          <w:rFonts w:hint="eastAsia" w:ascii="仿宋" w:hAnsi="仿宋" w:eastAsia="仿宋"/>
        </w:rPr>
        <w:t>运输方式：</w:t>
      </w:r>
      <w:r>
        <w:rPr>
          <w:rFonts w:hint="eastAsia" w:ascii="仿宋" w:hAnsi="仿宋" w:eastAsia="仿宋"/>
          <w:szCs w:val="21"/>
        </w:rPr>
        <w:t xml:space="preserve">由乙方负责货物运输费用及保险，乙方须选择安全可靠的运输方式，并负责运输保险，在交货前的风险均由乙方承担，乙方不得以任何借口推诿，甲方只在约定的交货地点进行验收。 </w:t>
      </w:r>
    </w:p>
    <w:p>
      <w:pPr>
        <w:numPr>
          <w:ilvl w:val="1"/>
          <w:numId w:val="2"/>
        </w:numPr>
        <w:spacing w:line="440" w:lineRule="exact"/>
        <w:rPr>
          <w:rFonts w:hint="eastAsia" w:ascii="仿宋" w:hAnsi="仿宋" w:eastAsia="仿宋"/>
          <w:highlight w:val="none"/>
        </w:rPr>
      </w:pPr>
      <w:r>
        <w:rPr>
          <w:rFonts w:hint="eastAsia" w:ascii="仿宋" w:hAnsi="仿宋" w:eastAsia="仿宋"/>
        </w:rPr>
        <w:t>装卸责任及费用： 乙方负责货物装车及运输到工地现场的费用</w:t>
      </w:r>
      <w:r>
        <w:rPr>
          <w:rFonts w:hint="eastAsia" w:ascii="仿宋" w:hAnsi="仿宋" w:eastAsia="仿宋"/>
          <w:highlight w:val="none"/>
        </w:rPr>
        <w:t>，卸货费用及责任由</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乙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方承担。   </w:t>
      </w:r>
    </w:p>
    <w:p>
      <w:pPr>
        <w:numPr>
          <w:ilvl w:val="1"/>
          <w:numId w:val="2"/>
        </w:numPr>
        <w:spacing w:line="440" w:lineRule="exact"/>
        <w:rPr>
          <w:rFonts w:ascii="仿宋" w:hAnsi="仿宋" w:eastAsia="仿宋"/>
          <w:color w:val="000000"/>
          <w:u w:val="single"/>
        </w:rPr>
      </w:pPr>
      <w:r>
        <w:rPr>
          <w:rFonts w:hint="eastAsia" w:ascii="仿宋" w:hAnsi="仿宋" w:eastAsia="仿宋"/>
          <w:color w:val="000000"/>
          <w:highlight w:val="none"/>
        </w:rPr>
        <w:t>交货地点：由乙方负责运输至甲方指定地点交货</w:t>
      </w:r>
      <w:r>
        <w:rPr>
          <w:rFonts w:hint="eastAsia" w:ascii="仿宋" w:hAnsi="仿宋" w:eastAsia="仿宋"/>
          <w:color w:val="000000"/>
          <w:highlight w:val="none"/>
          <w:lang w:val="en-US" w:eastAsia="zh-CN"/>
        </w:rPr>
        <w:t>运至金龙云海项目现场</w:t>
      </w:r>
      <w:r>
        <w:rPr>
          <w:rFonts w:hint="eastAsia" w:ascii="仿宋" w:hAnsi="仿宋" w:eastAsia="仿宋"/>
          <w:color w:val="000000"/>
          <w:highlight w:val="none"/>
        </w:rPr>
        <w:t>。货物验收合格交付前，货物的灭失、毁损风险由乙</w:t>
      </w:r>
      <w:r>
        <w:rPr>
          <w:rFonts w:hint="eastAsia" w:ascii="仿宋" w:hAnsi="仿宋" w:eastAsia="仿宋"/>
          <w:color w:val="000000"/>
        </w:rPr>
        <w:t xml:space="preserve">方承担。 </w:t>
      </w:r>
    </w:p>
    <w:p>
      <w:pPr>
        <w:numPr>
          <w:ilvl w:val="1"/>
          <w:numId w:val="2"/>
        </w:numPr>
        <w:spacing w:line="440" w:lineRule="exact"/>
        <w:rPr>
          <w:rFonts w:hint="eastAsia" w:ascii="仿宋" w:hAnsi="仿宋" w:eastAsia="仿宋"/>
          <w:color w:val="000000"/>
        </w:rPr>
      </w:pPr>
      <w:r>
        <w:rPr>
          <w:rFonts w:hint="eastAsia" w:ascii="仿宋" w:hAnsi="仿宋" w:eastAsia="仿宋"/>
          <w:color w:val="000000"/>
        </w:rPr>
        <w:t>甲方对产品质量的异议不受本条时间的限制，随时发现可随时向乙方提出异议和处理意见。</w:t>
      </w:r>
    </w:p>
    <w:p>
      <w:pPr>
        <w:spacing w:line="440" w:lineRule="exact"/>
        <w:ind w:firstLine="420" w:firstLineChars="200"/>
        <w:rPr>
          <w:rFonts w:hint="eastAsia" w:ascii="仿宋" w:hAnsi="仿宋" w:eastAsia="仿宋"/>
          <w:color w:val="000000"/>
          <w:u w:val="single"/>
        </w:rPr>
      </w:pPr>
      <w:r>
        <w:rPr>
          <w:rFonts w:hint="eastAsia" w:ascii="仿宋" w:hAnsi="仿宋" w:eastAsia="仿宋"/>
          <w:color w:val="000000"/>
        </w:rPr>
        <w:t>6、甲方接货人: （1）姓名：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联系电话：</w:t>
      </w:r>
      <w:r>
        <w:rPr>
          <w:rFonts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spacing w:line="440" w:lineRule="exact"/>
        <w:rPr>
          <w:rFonts w:hint="eastAsia" w:ascii="仿宋" w:hAnsi="仿宋" w:eastAsia="仿宋"/>
          <w:color w:val="000000"/>
          <w:u w:val="single"/>
        </w:rPr>
      </w:pPr>
      <w:r>
        <w:rPr>
          <w:rFonts w:hint="eastAsia" w:ascii="仿宋" w:hAnsi="仿宋" w:eastAsia="仿宋"/>
          <w:color w:val="000000"/>
        </w:rPr>
        <w:t xml:space="preserve">                   （2）姓名：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联系电话：</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spacing w:line="440" w:lineRule="exact"/>
        <w:ind w:firstLine="420" w:firstLineChars="200"/>
        <w:rPr>
          <w:rFonts w:hint="eastAsia" w:ascii="仿宋" w:hAnsi="仿宋" w:eastAsia="仿宋"/>
          <w:color w:val="000000"/>
          <w:u w:val="single"/>
        </w:rPr>
      </w:pPr>
      <w:r>
        <w:rPr>
          <w:rFonts w:hint="eastAsia" w:ascii="仿宋" w:hAnsi="仿宋" w:eastAsia="仿宋"/>
          <w:color w:val="000000"/>
        </w:rPr>
        <w:t>7、乙方交货人：（1）姓名：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rPr>
        <w:t>联系电话：</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p>
    <w:p>
      <w:pPr>
        <w:spacing w:before="156" w:beforeLines="50" w:after="156" w:afterLines="50" w:line="440" w:lineRule="exact"/>
        <w:jc w:val="left"/>
        <w:textAlignment w:val="baseline"/>
        <w:rPr>
          <w:rFonts w:hint="eastAsia" w:ascii="仿宋" w:hAnsi="仿宋" w:eastAsia="仿宋"/>
          <w:b/>
          <w:color w:val="000000"/>
        </w:rPr>
      </w:pPr>
      <w:r>
        <w:rPr>
          <w:rFonts w:hint="eastAsia" w:ascii="仿宋" w:hAnsi="仿宋" w:eastAsia="仿宋"/>
          <w:b/>
          <w:color w:val="000000"/>
        </w:rPr>
        <w:t>五、验收方法：</w:t>
      </w:r>
    </w:p>
    <w:p>
      <w:pPr>
        <w:spacing w:line="440" w:lineRule="exact"/>
        <w:ind w:firstLine="420" w:firstLineChars="200"/>
        <w:rPr>
          <w:rFonts w:hint="eastAsia"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、验收依据：</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1.1本合同约定的相关要求和有效的材料需用计划表；</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1.2</w:t>
      </w:r>
      <w:r>
        <w:rPr>
          <w:rFonts w:hint="eastAsia" w:ascii="仿宋" w:hAnsi="仿宋" w:eastAsia="仿宋"/>
          <w:color w:val="000000"/>
          <w:szCs w:val="21"/>
          <w:lang w:val="en-US" w:eastAsia="zh-CN"/>
        </w:rPr>
        <w:t>如有样品，</w:t>
      </w:r>
      <w:r>
        <w:rPr>
          <w:rFonts w:hint="eastAsia" w:ascii="仿宋" w:hAnsi="仿宋" w:eastAsia="仿宋"/>
          <w:color w:val="000000"/>
          <w:szCs w:val="21"/>
        </w:rPr>
        <w:t>乙方提供的经甲方确认的封样样品；</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2、验收要点：</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2.1收货时的验收</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甲乙双方在到货当日内验收以下内容：</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a.送货（装箱）清单与订单数量是否相符；b.送货规格/品牌/型号是否与订单、合同及装箱清单相符；</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lang w:val="en-US" w:eastAsia="zh-CN"/>
        </w:rPr>
        <w:t>b</w:t>
      </w:r>
      <w:r>
        <w:rPr>
          <w:rFonts w:hint="eastAsia" w:ascii="仿宋" w:hAnsi="仿宋" w:eastAsia="仿宋"/>
          <w:color w:val="000000"/>
          <w:szCs w:val="21"/>
        </w:rPr>
        <w:t>.送货产品是否与封样样品相符，如不符，甲方可拒绝验收；d.包装及货物是否破损，受损程度情况；</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lang w:val="en-US" w:eastAsia="zh-CN"/>
        </w:rPr>
        <w:t>c</w:t>
      </w:r>
      <w:r>
        <w:rPr>
          <w:rFonts w:hint="eastAsia" w:ascii="仿宋" w:hAnsi="仿宋" w:eastAsia="仿宋"/>
          <w:color w:val="000000"/>
          <w:szCs w:val="21"/>
        </w:rPr>
        <w:t>.送货是否满足订单要求顺序，如不符，甲方可拒绝验收，乙方不得有任何异议；f.乙方未按甲方订单货物全部到场，则视为本批次货物未到，直到本批次订单供完为止，乙方所送货物才予以结算。</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若与上述各项有不符之处，甲方应立即告知乙方，乙方应立即采取措施解决，并承担由此造成的损失；若乙方未到场，甲方有权拒绝验收，由此造成的所有损失由乙方承担。</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2.2安装和使用过程中的验收：</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对有些缺陷需在安装后方可进行验收或识别（如色差或性能或现场试验等），乙方自接到甲方通知后24小时内到达现场处理，确系产品问题，乙方应无条件更换并补货，承担由此造成的损失。</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3、本合同须复检的货物：</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3.1、根据国家行业标准、规范及本工程交工资料要求。</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3.2、乙方提供的产品与双方约定标准不符，甲方有权解除合同，乙方应赔偿给甲方造成的直接和间接损失。</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3.3、异议的处理：验收及使用过程中，甲方对乙方所供货物提出异议时，乙方自接到甲方通知24小时内必须到现场处理，48小时内解决问题；若乙方拒不处理，甲方视为乙方认可甲方的处理方式，由此造成的所有损失概由乙方承担。</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3.4、若乙方所供材料质量和进度不能满足合同约定的要求，甲方可终止合同，另选供应商，已供货物按合同约定结算。</w:t>
      </w:r>
    </w:p>
    <w:p>
      <w:pPr>
        <w:spacing w:line="440" w:lineRule="exact"/>
        <w:rPr>
          <w:rFonts w:hint="eastAsia" w:ascii="仿宋" w:hAnsi="仿宋" w:eastAsia="仿宋"/>
          <w:b/>
          <w:color w:val="000000"/>
          <w:szCs w:val="21"/>
        </w:rPr>
      </w:pPr>
      <w:r>
        <w:rPr>
          <w:rFonts w:hint="eastAsia" w:ascii="仿宋" w:hAnsi="仿宋" w:eastAsia="仿宋"/>
          <w:b/>
          <w:color w:val="000000"/>
          <w:szCs w:val="21"/>
        </w:rPr>
        <w:t>六、结算方式：</w:t>
      </w:r>
    </w:p>
    <w:p>
      <w:pPr>
        <w:spacing w:line="440" w:lineRule="exact"/>
        <w:ind w:firstLine="420" w:firstLineChars="200"/>
        <w:rPr>
          <w:rFonts w:hint="eastAsia" w:ascii="仿宋" w:hAnsi="仿宋" w:eastAsia="仿宋"/>
          <w:b/>
          <w:color w:val="000000"/>
          <w:szCs w:val="21"/>
        </w:rPr>
      </w:pPr>
      <w:r>
        <w:rPr>
          <w:rFonts w:hint="eastAsia" w:ascii="仿宋" w:hAnsi="仿宋" w:eastAsia="仿宋"/>
          <w:color w:val="000000"/>
          <w:szCs w:val="21"/>
        </w:rPr>
        <w:t>1</w:t>
      </w:r>
      <w:r>
        <w:rPr>
          <w:rFonts w:ascii="仿宋" w:hAnsi="仿宋" w:eastAsia="仿宋"/>
          <w:color w:val="000000"/>
          <w:szCs w:val="21"/>
        </w:rPr>
        <w:t>.</w:t>
      </w:r>
      <w:r>
        <w:rPr>
          <w:rFonts w:hint="eastAsia" w:ascii="仿宋" w:hAnsi="仿宋" w:eastAsia="仿宋"/>
          <w:color w:val="000000"/>
          <w:szCs w:val="21"/>
        </w:rPr>
        <w:t>按合同约定的计量规则进行计量结算；</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2.乙方提供甲方签字确认的材料需用计划单、甲方签收的送货单、合同及补充协议；</w:t>
      </w:r>
    </w:p>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3.乙方按甲方提供的结算单格式，按送货日期汇总其所送货物的名称、规格、数量、单价、金额，并盖章确认，再经甲方签字确认后，作为最终结算的依据。</w:t>
      </w:r>
    </w:p>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4.</w:t>
      </w:r>
      <w:r>
        <w:rPr>
          <w:rFonts w:hint="eastAsia" w:ascii="仿宋" w:hAnsi="仿宋" w:eastAsia="仿宋" w:cs="宋体"/>
          <w:color w:val="000000"/>
          <w:szCs w:val="21"/>
        </w:rPr>
        <w:t>双方约定按附件（如有）中所列的结算单办理结算，乙方应积极主动地与甲方办理结算，积极配合甲方审核，如乙方不配合甲方进行办理结算，则甲方有权单方面终止本合同且以甲方的单据为最终结算。附件（如有）作为本合同的组成部分，与本合同具有同等法律效力。</w:t>
      </w:r>
    </w:p>
    <w:p>
      <w:pPr>
        <w:spacing w:line="440" w:lineRule="exact"/>
        <w:rPr>
          <w:rFonts w:hint="eastAsia" w:ascii="仿宋" w:hAnsi="仿宋" w:eastAsia="仿宋"/>
          <w:b/>
          <w:color w:val="000000"/>
        </w:rPr>
      </w:pPr>
      <w:r>
        <w:rPr>
          <w:rFonts w:hint="eastAsia" w:ascii="仿宋" w:hAnsi="仿宋" w:eastAsia="仿宋"/>
          <w:b/>
          <w:color w:val="000000"/>
        </w:rPr>
        <w:t>七、付款方式及增值税发票交付：</w:t>
      </w:r>
    </w:p>
    <w:p>
      <w:pPr>
        <w:spacing w:line="440" w:lineRule="exact"/>
        <w:ind w:firstLine="315" w:firstLineChars="150"/>
        <w:rPr>
          <w:rFonts w:hint="eastAsia" w:ascii="仿宋" w:hAnsi="仿宋" w:eastAsia="仿宋"/>
          <w:color w:val="000000"/>
          <w:kern w:val="0"/>
          <w:szCs w:val="21"/>
        </w:rPr>
      </w:pPr>
      <w:r>
        <w:rPr>
          <w:rFonts w:hint="eastAsia" w:ascii="仿宋" w:hAnsi="仿宋" w:eastAsia="仿宋"/>
          <w:color w:val="000000"/>
          <w:kern w:val="0"/>
          <w:szCs w:val="21"/>
        </w:rPr>
        <w:t>付款方式：□银行承兑；□转账支票(同城)；□电汇（异地）；</w:t>
      </w:r>
      <w:r>
        <w:rPr>
          <w:rFonts w:hint="eastAsia" w:ascii="仿宋" w:hAnsi="仿宋" w:eastAsia="仿宋" w:cs="宋体"/>
          <w:color w:val="000000"/>
          <w:kern w:val="0"/>
          <w:sz w:val="24"/>
          <w:szCs w:val="24"/>
        </w:rPr>
        <w:fldChar w:fldCharType="begin"/>
      </w:r>
      <w:r>
        <w:rPr>
          <w:rFonts w:hint="eastAsia" w:ascii="仿宋" w:hAnsi="仿宋" w:eastAsia="仿宋" w:cs="宋体"/>
          <w:color w:val="000000"/>
          <w:kern w:val="0"/>
          <w:sz w:val="24"/>
          <w:szCs w:val="24"/>
        </w:rPr>
        <w:instrText xml:space="preserve"> EQ \o\ac(□,</w:instrText>
      </w:r>
      <w:r>
        <w:rPr>
          <w:rFonts w:hint="eastAsia" w:ascii="仿宋" w:hAnsi="仿宋" w:eastAsia="仿宋" w:cs="宋体"/>
          <w:color w:val="000000"/>
          <w:kern w:val="0"/>
          <w:position w:val="2"/>
          <w:sz w:val="16"/>
          <w:szCs w:val="24"/>
        </w:rPr>
        <w:instrText xml:space="preserve">√</w:instrText>
      </w:r>
      <w:r>
        <w:rPr>
          <w:rFonts w:hint="eastAsia" w:ascii="仿宋" w:hAnsi="仿宋" w:eastAsia="仿宋" w:cs="宋体"/>
          <w:color w:val="000000"/>
          <w:kern w:val="0"/>
          <w:sz w:val="24"/>
          <w:szCs w:val="24"/>
        </w:rPr>
        <w:instrText xml:space="preserve">)</w:instrText>
      </w:r>
      <w:r>
        <w:rPr>
          <w:rFonts w:hint="eastAsia" w:ascii="仿宋" w:hAnsi="仿宋" w:eastAsia="仿宋" w:cs="宋体"/>
          <w:color w:val="000000"/>
          <w:kern w:val="0"/>
          <w:sz w:val="24"/>
          <w:szCs w:val="24"/>
        </w:rPr>
        <w:fldChar w:fldCharType="end"/>
      </w:r>
      <w:r>
        <w:rPr>
          <w:rFonts w:hint="eastAsia" w:ascii="仿宋" w:hAnsi="仿宋" w:eastAsia="仿宋"/>
          <w:color w:val="000000"/>
          <w:kern w:val="0"/>
          <w:szCs w:val="21"/>
        </w:rPr>
        <w:t>网银；</w:t>
      </w:r>
    </w:p>
    <w:p>
      <w:pPr>
        <w:spacing w:line="440" w:lineRule="exact"/>
        <w:ind w:firstLine="422" w:firstLineChars="200"/>
        <w:rPr>
          <w:rFonts w:hint="eastAsia" w:ascii="仿宋" w:hAnsi="仿宋" w:eastAsia="仿宋" w:cs="宋体"/>
          <w:color w:val="000000"/>
          <w:szCs w:val="21"/>
        </w:rPr>
      </w:pPr>
      <w:r>
        <w:rPr>
          <w:rFonts w:hint="eastAsia" w:ascii="仿宋" w:hAnsi="仿宋" w:eastAsia="仿宋" w:cs="宋体"/>
          <w:b/>
          <w:bCs/>
          <w:color w:val="000000"/>
          <w:szCs w:val="21"/>
        </w:rPr>
        <w:t>1.</w:t>
      </w:r>
      <w:r>
        <w:rPr>
          <w:rFonts w:hint="eastAsia" w:ascii="仿宋" w:hAnsi="仿宋" w:eastAsia="仿宋" w:cs="宋体"/>
          <w:color w:val="000000"/>
          <w:szCs w:val="21"/>
        </w:rPr>
        <w:t>先货后款：本合同签订生效后，待乙方货物到达甲方指定的交货地点并经甲方验收合格</w:t>
      </w:r>
      <w:r>
        <w:rPr>
          <w:rFonts w:hint="eastAsia" w:ascii="仿宋" w:hAnsi="仿宋" w:eastAsia="仿宋" w:cs="宋体"/>
          <w:color w:val="000000"/>
          <w:szCs w:val="21"/>
          <w:lang w:val="en-US" w:eastAsia="zh-CN"/>
        </w:rPr>
        <w:t>办理结算后</w:t>
      </w:r>
      <w:r>
        <w:rPr>
          <w:rFonts w:hint="eastAsia" w:ascii="仿宋" w:hAnsi="仿宋" w:eastAsia="仿宋" w:cs="宋体"/>
          <w:color w:val="000000"/>
          <w:szCs w:val="21"/>
          <w:u w:val="single"/>
        </w:rPr>
        <w:t xml:space="preserve"> </w:t>
      </w:r>
      <w:r>
        <w:rPr>
          <w:rFonts w:hint="eastAsia" w:ascii="仿宋" w:hAnsi="仿宋" w:eastAsia="仿宋" w:cs="宋体"/>
          <w:color w:val="000000"/>
          <w:szCs w:val="21"/>
          <w:u w:val="single"/>
          <w:lang w:val="en-US" w:eastAsia="zh-CN"/>
        </w:rPr>
        <w:t>10</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天内付至本批货款总额的</w:t>
      </w:r>
      <w:r>
        <w:rPr>
          <w:rFonts w:hint="eastAsia" w:ascii="仿宋" w:hAnsi="仿宋" w:eastAsia="仿宋" w:cs="宋体"/>
          <w:color w:val="000000"/>
          <w:szCs w:val="21"/>
          <w:u w:val="single"/>
        </w:rPr>
        <w:t xml:space="preserve">  </w:t>
      </w:r>
      <w:r>
        <w:rPr>
          <w:rFonts w:hint="eastAsia" w:ascii="仿宋" w:hAnsi="仿宋" w:eastAsia="仿宋" w:cs="宋体"/>
          <w:color w:val="000000"/>
          <w:szCs w:val="21"/>
          <w:u w:val="single"/>
          <w:lang w:val="en-US" w:eastAsia="zh-CN"/>
        </w:rPr>
        <w:t>80</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w:t>
      </w:r>
      <w:r>
        <w:rPr>
          <w:rFonts w:hint="eastAsia" w:ascii="仿宋" w:hAnsi="仿宋" w:eastAsia="仿宋" w:cs="宋体"/>
          <w:color w:val="000000"/>
          <w:szCs w:val="21"/>
          <w:lang w:eastAsia="zh-CN"/>
        </w:rPr>
        <w:t>，</w:t>
      </w:r>
      <w:r>
        <w:rPr>
          <w:rFonts w:hint="eastAsia" w:ascii="仿宋" w:hAnsi="仿宋" w:eastAsia="仿宋" w:cs="宋体"/>
          <w:color w:val="000000"/>
          <w:szCs w:val="21"/>
          <w:lang w:val="en-US" w:eastAsia="zh-CN"/>
        </w:rPr>
        <w:t>待乙方开具增值税专用发票后7天内支付尾款</w:t>
      </w:r>
      <w:r>
        <w:rPr>
          <w:rFonts w:hint="eastAsia" w:ascii="仿宋" w:hAnsi="仿宋" w:eastAsia="仿宋" w:cs="宋体"/>
          <w:color w:val="000000"/>
          <w:szCs w:val="21"/>
        </w:rPr>
        <w:t>。</w:t>
      </w:r>
    </w:p>
    <w:p>
      <w:pPr>
        <w:spacing w:line="440" w:lineRule="exact"/>
        <w:ind w:firstLine="422" w:firstLineChars="200"/>
        <w:rPr>
          <w:rFonts w:ascii="仿宋" w:hAnsi="仿宋" w:eastAsia="仿宋" w:cs="宋体"/>
          <w:color w:val="000000"/>
          <w:szCs w:val="21"/>
        </w:rPr>
      </w:pPr>
      <w:r>
        <w:rPr>
          <w:rFonts w:hint="eastAsia" w:ascii="仿宋" w:hAnsi="仿宋" w:eastAsia="仿宋" w:cs="宋体"/>
          <w:b/>
          <w:bCs/>
          <w:color w:val="000000"/>
          <w:szCs w:val="21"/>
          <w:highlight w:val="none"/>
        </w:rPr>
        <w:t>2.增值税发票</w:t>
      </w:r>
      <w:r>
        <w:rPr>
          <w:rFonts w:hint="eastAsia" w:ascii="仿宋" w:hAnsi="仿宋" w:eastAsia="仿宋" w:cs="宋体"/>
          <w:b/>
          <w:bCs/>
          <w:color w:val="000000"/>
          <w:szCs w:val="21"/>
        </w:rPr>
        <w:t>交付：</w:t>
      </w:r>
    </w:p>
    <w:p>
      <w:pPr>
        <w:spacing w:line="440" w:lineRule="exact"/>
        <w:rPr>
          <w:rFonts w:ascii="仿宋" w:hAnsi="仿宋" w:eastAsia="仿宋" w:cs="宋体"/>
          <w:color w:val="000000"/>
          <w:szCs w:val="21"/>
        </w:rPr>
      </w:pPr>
      <w:r>
        <w:rPr>
          <w:rFonts w:hint="eastAsia" w:ascii="仿宋" w:hAnsi="仿宋" w:eastAsia="仿宋" w:cs="宋体"/>
          <w:color w:val="000000"/>
          <w:szCs w:val="21"/>
        </w:rPr>
        <w:t>先票后款：乙方开具的增值税发票交给甲方后，经甲方在税控系统上验证通过后再按合同约定进行货款的支付。</w:t>
      </w:r>
    </w:p>
    <w:p>
      <w:pPr>
        <w:spacing w:line="440" w:lineRule="exact"/>
        <w:ind w:firstLine="420" w:firstLineChars="200"/>
        <w:rPr>
          <w:rFonts w:hint="eastAsia" w:ascii="仿宋" w:hAnsi="仿宋" w:eastAsia="仿宋"/>
          <w:color w:val="000000"/>
          <w:kern w:val="0"/>
          <w:szCs w:val="21"/>
        </w:rPr>
      </w:pPr>
      <w:r>
        <w:rPr>
          <w:rFonts w:hint="eastAsia" w:ascii="仿宋" w:hAnsi="仿宋" w:eastAsia="仿宋"/>
          <w:color w:val="000000"/>
          <w:kern w:val="0"/>
          <w:szCs w:val="21"/>
        </w:rPr>
        <w:t>注：</w:t>
      </w:r>
    </w:p>
    <w:p>
      <w:pPr>
        <w:widowControl/>
        <w:spacing w:line="440" w:lineRule="exact"/>
        <w:ind w:left="450"/>
        <w:jc w:val="left"/>
        <w:rPr>
          <w:rFonts w:ascii="仿宋" w:hAnsi="仿宋" w:eastAsia="仿宋" w:cs="宋体"/>
          <w:color w:val="000000"/>
          <w:szCs w:val="21"/>
        </w:rPr>
      </w:pPr>
      <w:r>
        <w:rPr>
          <w:rFonts w:hint="eastAsia" w:ascii="仿宋" w:hAnsi="仿宋" w:eastAsia="仿宋" w:cs="宋体"/>
          <w:color w:val="000000"/>
          <w:szCs w:val="21"/>
        </w:rPr>
        <w:t>1、本合同的金额和数量为暂定金额和暂定数量，最终金额及购买数量以双方签字并盖章的结算书为准。</w:t>
      </w:r>
    </w:p>
    <w:p>
      <w:pPr>
        <w:widowControl/>
        <w:numPr>
          <w:ilvl w:val="0"/>
          <w:numId w:val="3"/>
        </w:numPr>
        <w:spacing w:line="440" w:lineRule="exact"/>
        <w:ind w:left="420" w:leftChars="0" w:firstLineChars="0"/>
        <w:jc w:val="left"/>
        <w:rPr>
          <w:rFonts w:hint="eastAsia" w:ascii="仿宋" w:hAnsi="仿宋" w:eastAsia="仿宋"/>
          <w:color w:val="000000"/>
          <w:szCs w:val="21"/>
        </w:rPr>
      </w:pPr>
      <w:r>
        <w:rPr>
          <w:rFonts w:hint="eastAsia" w:ascii="仿宋" w:hAnsi="仿宋" w:eastAsia="仿宋" w:cs="宋体"/>
          <w:color w:val="000000"/>
          <w:szCs w:val="21"/>
        </w:rPr>
        <w:t>增值税发票约定：乙方提供发票的材料名称、规格型号、数量、单价等应与结算单一致并配套提供相应的送货单等确保三流一致，否则视为乙方违约。</w:t>
      </w:r>
    </w:p>
    <w:p>
      <w:pPr>
        <w:widowControl/>
        <w:spacing w:line="440" w:lineRule="exact"/>
        <w:ind w:firstLine="420" w:firstLineChars="200"/>
        <w:jc w:val="left"/>
        <w:rPr>
          <w:rFonts w:ascii="仿宋" w:hAnsi="仿宋" w:eastAsia="仿宋" w:cs="宋体"/>
          <w:color w:val="000000"/>
          <w:szCs w:val="21"/>
          <w:highlight w:val="yellow"/>
        </w:rPr>
      </w:pPr>
      <w:r>
        <w:rPr>
          <w:rFonts w:hint="eastAsia" w:ascii="仿宋" w:hAnsi="仿宋" w:eastAsia="仿宋"/>
          <w:color w:val="000000"/>
          <w:szCs w:val="21"/>
          <w:lang w:val="en-US" w:eastAsia="zh-CN"/>
        </w:rPr>
        <w:t>3</w:t>
      </w:r>
      <w:r>
        <w:rPr>
          <w:rFonts w:hint="eastAsia" w:ascii="仿宋" w:hAnsi="仿宋" w:eastAsia="仿宋"/>
          <w:color w:val="000000"/>
          <w:szCs w:val="21"/>
        </w:rPr>
        <w:t>、甲方付款前乙方还需提供与付款金额一致的收据，否则甲方不予支付。</w:t>
      </w:r>
    </w:p>
    <w:p>
      <w:pPr>
        <w:spacing w:line="440" w:lineRule="exact"/>
        <w:ind w:firstLine="420" w:firstLineChars="200"/>
        <w:rPr>
          <w:rFonts w:hint="eastAsia" w:ascii="仿宋" w:hAnsi="仿宋" w:eastAsia="仿宋"/>
          <w:color w:val="000000"/>
          <w:kern w:val="0"/>
          <w:szCs w:val="21"/>
        </w:rPr>
      </w:pPr>
    </w:p>
    <w:p>
      <w:pPr>
        <w:spacing w:line="440" w:lineRule="exact"/>
        <w:rPr>
          <w:rFonts w:hint="eastAsia" w:ascii="仿宋" w:hAnsi="仿宋" w:eastAsia="仿宋"/>
          <w:b/>
          <w:szCs w:val="21"/>
        </w:rPr>
      </w:pPr>
      <w:r>
        <w:rPr>
          <w:rFonts w:hint="eastAsia" w:ascii="仿宋" w:hAnsi="仿宋" w:eastAsia="仿宋"/>
          <w:b/>
          <w:szCs w:val="21"/>
        </w:rPr>
        <w:t>八、违约责任：</w:t>
      </w:r>
    </w:p>
    <w:p>
      <w:pPr>
        <w:spacing w:line="440" w:lineRule="exact"/>
        <w:ind w:left="210" w:leftChars="100" w:firstLine="210" w:firstLineChars="100"/>
        <w:rPr>
          <w:rFonts w:hint="eastAsia" w:ascii="仿宋" w:hAnsi="仿宋" w:eastAsia="仿宋"/>
          <w:szCs w:val="21"/>
        </w:rPr>
      </w:pPr>
      <w:r>
        <w:rPr>
          <w:rFonts w:hint="eastAsia" w:ascii="仿宋" w:hAnsi="仿宋" w:eastAsia="仿宋"/>
          <w:szCs w:val="21"/>
        </w:rPr>
        <w:t>1、乙方逾期交货超过规定时间将按每逾期一天</w:t>
      </w:r>
      <w:r>
        <w:rPr>
          <w:rFonts w:ascii="仿宋" w:hAnsi="仿宋" w:eastAsia="仿宋"/>
          <w:szCs w:val="21"/>
          <w:u w:val="single"/>
        </w:rPr>
        <w:t xml:space="preserve">  </w:t>
      </w:r>
      <w:r>
        <w:rPr>
          <w:rFonts w:hint="eastAsia" w:ascii="仿宋" w:hAnsi="仿宋" w:eastAsia="仿宋"/>
          <w:szCs w:val="21"/>
          <w:u w:val="single"/>
          <w:lang w:val="en-US" w:eastAsia="zh-CN"/>
        </w:rPr>
        <w:t>1000</w:t>
      </w:r>
      <w:r>
        <w:rPr>
          <w:rFonts w:ascii="仿宋" w:hAnsi="仿宋" w:eastAsia="仿宋"/>
          <w:szCs w:val="21"/>
          <w:u w:val="single"/>
        </w:rPr>
        <w:t xml:space="preserve">  </w:t>
      </w:r>
      <w:r>
        <w:rPr>
          <w:rFonts w:hint="eastAsia" w:ascii="仿宋" w:hAnsi="仿宋" w:eastAsia="仿宋"/>
          <w:szCs w:val="21"/>
        </w:rPr>
        <w:t>元的违约金,并承担由此给甲方造成的损失。</w:t>
      </w:r>
    </w:p>
    <w:p>
      <w:pPr>
        <w:spacing w:line="440" w:lineRule="exact"/>
        <w:ind w:firstLine="420" w:firstLineChars="200"/>
        <w:rPr>
          <w:rFonts w:hint="eastAsia" w:ascii="仿宋" w:hAnsi="仿宋" w:eastAsia="仿宋"/>
          <w:szCs w:val="21"/>
        </w:rPr>
      </w:pPr>
      <w:r>
        <w:rPr>
          <w:rFonts w:hint="eastAsia" w:ascii="仿宋" w:hAnsi="仿宋" w:eastAsia="仿宋"/>
          <w:szCs w:val="21"/>
        </w:rPr>
        <w:t>2、产品不符合国家强制性标准或合同约定质量标准的，乙方应无条件换、退货。同时赔偿甲方因工期延误所造成的经济损失</w:t>
      </w:r>
      <w:r>
        <w:rPr>
          <w:rFonts w:hint="eastAsia" w:ascii="仿宋" w:hAnsi="仿宋" w:eastAsia="仿宋"/>
          <w:szCs w:val="21"/>
          <w:lang w:eastAsia="zh-CN"/>
        </w:rPr>
        <w:t>，</w:t>
      </w:r>
      <w:r>
        <w:rPr>
          <w:rFonts w:hint="eastAsia" w:ascii="仿宋" w:hAnsi="仿宋" w:eastAsia="仿宋"/>
          <w:szCs w:val="21"/>
        </w:rPr>
        <w:t>将按每逾期一天</w:t>
      </w:r>
      <w:r>
        <w:rPr>
          <w:rFonts w:ascii="仿宋" w:hAnsi="仿宋" w:eastAsia="仿宋"/>
          <w:szCs w:val="21"/>
          <w:u w:val="single"/>
        </w:rPr>
        <w:t xml:space="preserve">  </w:t>
      </w:r>
      <w:r>
        <w:rPr>
          <w:rFonts w:hint="eastAsia" w:ascii="仿宋" w:hAnsi="仿宋" w:eastAsia="仿宋"/>
          <w:szCs w:val="21"/>
          <w:u w:val="single"/>
          <w:lang w:val="en-US" w:eastAsia="zh-CN"/>
        </w:rPr>
        <w:t>1000</w:t>
      </w:r>
      <w:r>
        <w:rPr>
          <w:rFonts w:ascii="仿宋" w:hAnsi="仿宋" w:eastAsia="仿宋"/>
          <w:szCs w:val="21"/>
          <w:u w:val="single"/>
        </w:rPr>
        <w:t xml:space="preserve">  </w:t>
      </w:r>
      <w:r>
        <w:rPr>
          <w:rFonts w:hint="eastAsia" w:ascii="仿宋" w:hAnsi="仿宋" w:eastAsia="仿宋"/>
          <w:szCs w:val="21"/>
        </w:rPr>
        <w:t>元的违约金。</w:t>
      </w:r>
    </w:p>
    <w:p>
      <w:pPr>
        <w:spacing w:line="440" w:lineRule="exact"/>
        <w:ind w:firstLine="472" w:firstLineChars="225"/>
        <w:rPr>
          <w:rFonts w:hint="eastAsia" w:ascii="仿宋" w:hAnsi="仿宋" w:eastAsia="仿宋"/>
          <w:szCs w:val="21"/>
        </w:rPr>
      </w:pPr>
      <w:r>
        <w:rPr>
          <w:rFonts w:hint="eastAsia" w:ascii="仿宋" w:hAnsi="仿宋" w:eastAsia="仿宋"/>
          <w:szCs w:val="21"/>
        </w:rPr>
        <w:t>3、如果乙方接到甲方要求其弥补缺陷的通知后，没有在规定的时间内采取补救措施，甲方可以自行采取补救措施，但其风险和费用将由乙方承担。甲方从市场上另购同类产品替代的，乙方承担相关费用并补偿差价。</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4、如乙方有两次以上违反本合同条款约定的,则甲方有权解除或终止本合同,并由乙方赔偿因解除或终止本合同给甲方造成的全部损失。</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5、未经甲方同意，乙方提前送货时，甲方有权拒绝接收且不承担责任及费用。</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6、乙方未按甲方订单、合同要求批次或顺序送货或未按甲方该批次订单供货完毕，则视为乙方未按约定日期交货，甲方可以拒收，且可以追究由此给甲方造成的增加措施费。</w:t>
      </w:r>
    </w:p>
    <w:p>
      <w:pPr>
        <w:spacing w:line="440" w:lineRule="exact"/>
        <w:ind w:firstLine="420" w:firstLineChars="200"/>
        <w:rPr>
          <w:rFonts w:ascii="仿宋" w:hAnsi="仿宋" w:eastAsia="仿宋"/>
          <w:kern w:val="0"/>
          <w:szCs w:val="21"/>
        </w:rPr>
      </w:pPr>
      <w:r>
        <w:rPr>
          <w:rFonts w:hint="eastAsia" w:ascii="仿宋" w:hAnsi="仿宋" w:eastAsia="仿宋"/>
          <w:kern w:val="0"/>
          <w:szCs w:val="21"/>
        </w:rPr>
        <w:t>7、乙方必须提供合法有效发票，若因提供虚假发票，甲方拒付与虚假发票等额货款，乙方承担相应法律责任。</w:t>
      </w:r>
    </w:p>
    <w:p>
      <w:pPr>
        <w:spacing w:line="440" w:lineRule="exact"/>
        <w:ind w:firstLine="420" w:firstLineChars="200"/>
        <w:rPr>
          <w:rFonts w:ascii="仿宋" w:hAnsi="仿宋" w:eastAsia="仿宋" w:cs="宋体"/>
          <w:kern w:val="0"/>
          <w:szCs w:val="21"/>
        </w:rPr>
      </w:pPr>
      <w:r>
        <w:rPr>
          <w:rFonts w:hint="eastAsia" w:ascii="仿宋" w:hAnsi="仿宋" w:eastAsia="仿宋"/>
          <w:kern w:val="0"/>
          <w:szCs w:val="21"/>
        </w:rPr>
        <w:t>8、</w:t>
      </w:r>
      <w:r>
        <w:rPr>
          <w:rFonts w:hint="eastAsia" w:ascii="仿宋" w:hAnsi="仿宋" w:eastAsia="仿宋" w:cs="宋体"/>
          <w:kern w:val="0"/>
          <w:szCs w:val="21"/>
        </w:rPr>
        <w:t>乙方未</w:t>
      </w:r>
      <w:r>
        <w:rPr>
          <w:rFonts w:ascii="仿宋" w:hAnsi="仿宋" w:eastAsia="仿宋" w:cs="宋体"/>
          <w:kern w:val="0"/>
          <w:szCs w:val="21"/>
        </w:rPr>
        <w:t>随</w:t>
      </w:r>
      <w:r>
        <w:rPr>
          <w:rFonts w:hint="eastAsia" w:ascii="仿宋" w:hAnsi="仿宋" w:eastAsia="仿宋" w:cs="宋体"/>
          <w:kern w:val="0"/>
          <w:szCs w:val="21"/>
        </w:rPr>
        <w:t>货</w:t>
      </w:r>
      <w:r>
        <w:rPr>
          <w:rFonts w:ascii="仿宋" w:hAnsi="仿宋" w:eastAsia="仿宋" w:cs="宋体"/>
          <w:kern w:val="0"/>
          <w:szCs w:val="21"/>
        </w:rPr>
        <w:t>附送</w:t>
      </w:r>
      <w:r>
        <w:rPr>
          <w:rFonts w:hint="eastAsia" w:ascii="仿宋" w:hAnsi="仿宋" w:eastAsia="仿宋" w:cs="宋体"/>
          <w:kern w:val="0"/>
          <w:szCs w:val="21"/>
        </w:rPr>
        <w:t>有效</w:t>
      </w:r>
      <w:r>
        <w:rPr>
          <w:rFonts w:ascii="仿宋" w:hAnsi="仿宋" w:eastAsia="仿宋" w:cs="宋体"/>
          <w:kern w:val="0"/>
          <w:szCs w:val="21"/>
        </w:rPr>
        <w:t>检测报告</w:t>
      </w:r>
      <w:r>
        <w:rPr>
          <w:rFonts w:hint="eastAsia" w:ascii="仿宋" w:hAnsi="仿宋" w:eastAsia="仿宋" w:cs="宋体"/>
          <w:kern w:val="0"/>
          <w:szCs w:val="21"/>
        </w:rPr>
        <w:t>和</w:t>
      </w:r>
      <w:r>
        <w:rPr>
          <w:rFonts w:ascii="仿宋" w:hAnsi="仿宋" w:eastAsia="仿宋" w:cs="宋体"/>
          <w:kern w:val="0"/>
          <w:szCs w:val="21"/>
        </w:rPr>
        <w:t>合格证的，</w:t>
      </w:r>
      <w:r>
        <w:rPr>
          <w:rFonts w:hint="eastAsia" w:ascii="仿宋" w:hAnsi="仿宋" w:eastAsia="仿宋" w:cs="宋体"/>
          <w:kern w:val="0"/>
          <w:szCs w:val="21"/>
        </w:rPr>
        <w:t>视为材料不合格，直至</w:t>
      </w:r>
      <w:r>
        <w:rPr>
          <w:rFonts w:ascii="仿宋" w:hAnsi="仿宋" w:eastAsia="仿宋" w:cs="宋体"/>
          <w:kern w:val="0"/>
          <w:szCs w:val="21"/>
        </w:rPr>
        <w:t>补齐</w:t>
      </w:r>
      <w:r>
        <w:rPr>
          <w:rFonts w:hint="eastAsia" w:ascii="仿宋" w:hAnsi="仿宋" w:eastAsia="仿宋" w:cs="宋体"/>
          <w:kern w:val="0"/>
          <w:szCs w:val="21"/>
        </w:rPr>
        <w:t>相关</w:t>
      </w:r>
      <w:r>
        <w:rPr>
          <w:rFonts w:ascii="仿宋" w:hAnsi="仿宋" w:eastAsia="仿宋" w:cs="宋体"/>
          <w:kern w:val="0"/>
          <w:szCs w:val="21"/>
        </w:rPr>
        <w:t>检测报告和合格证后</w:t>
      </w:r>
      <w:r>
        <w:rPr>
          <w:rFonts w:hint="eastAsia" w:ascii="仿宋" w:hAnsi="仿宋" w:eastAsia="仿宋" w:cs="宋体"/>
          <w:kern w:val="0"/>
          <w:szCs w:val="21"/>
        </w:rPr>
        <w:t>才视为到货，如在约定的交货日期前未补齐相关检测报告和合格证，则按逾期</w:t>
      </w:r>
      <w:r>
        <w:rPr>
          <w:rFonts w:ascii="仿宋" w:hAnsi="仿宋" w:eastAsia="仿宋" w:cs="宋体"/>
          <w:kern w:val="0"/>
          <w:szCs w:val="21"/>
        </w:rPr>
        <w:t>供货违约处理。</w:t>
      </w:r>
    </w:p>
    <w:p>
      <w:pPr>
        <w:spacing w:line="440" w:lineRule="exact"/>
        <w:rPr>
          <w:rFonts w:hint="eastAsia" w:ascii="仿宋" w:hAnsi="仿宋" w:eastAsia="仿宋"/>
          <w:b/>
        </w:rPr>
      </w:pPr>
      <w:r>
        <w:rPr>
          <w:rFonts w:hint="eastAsia" w:ascii="仿宋" w:hAnsi="仿宋" w:eastAsia="仿宋"/>
          <w:b/>
        </w:rPr>
        <w:t>九、双方约定事项：</w:t>
      </w:r>
    </w:p>
    <w:p>
      <w:pPr>
        <w:spacing w:line="440" w:lineRule="exact"/>
        <w:ind w:firstLine="420" w:firstLineChars="200"/>
        <w:rPr>
          <w:rFonts w:hint="eastAsia" w:ascii="仿宋" w:hAnsi="仿宋" w:eastAsia="仿宋"/>
          <w:szCs w:val="21"/>
        </w:rPr>
      </w:pPr>
      <w:r>
        <w:rPr>
          <w:rFonts w:hint="eastAsia" w:ascii="仿宋" w:hAnsi="仿宋" w:eastAsia="仿宋"/>
          <w:szCs w:val="21"/>
        </w:rPr>
        <w:t>1、本合同约定数量为暂定数量，最终结算以实际供货量为准；供方发票按实际供货量开具。</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、所供材料的价格，甲乙双方都有保密义务，对因一方泄密而造成的损失,另一方有权要求赔偿。</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、乙方的义务包括但不限于配合甲方认价及其他与合同相关的其他工作。</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4</w:t>
      </w:r>
      <w:r>
        <w:rPr>
          <w:rFonts w:hint="eastAsia" w:ascii="仿宋" w:hAnsi="仿宋" w:eastAsia="仿宋"/>
          <w:szCs w:val="21"/>
        </w:rPr>
        <w:t>、乙方发票与税款的约定事项：</w:t>
      </w:r>
    </w:p>
    <w:p>
      <w:pPr>
        <w:spacing w:line="440" w:lineRule="exact"/>
        <w:rPr>
          <w:rFonts w:hint="eastAsia" w:ascii="仿宋" w:hAnsi="仿宋" w:eastAsia="仿宋"/>
          <w:b/>
          <w:szCs w:val="21"/>
        </w:rPr>
      </w:pPr>
      <w:r>
        <w:rPr>
          <w:rFonts w:hint="eastAsia" w:ascii="仿宋" w:hAnsi="仿宋" w:eastAsia="仿宋"/>
          <w:b/>
          <w:szCs w:val="21"/>
        </w:rPr>
        <w:t>十、争议解决：</w:t>
      </w:r>
    </w:p>
    <w:p>
      <w:pPr>
        <w:spacing w:before="156" w:beforeLines="50" w:after="156" w:afterLines="50" w:line="440" w:lineRule="exact"/>
        <w:ind w:firstLine="435"/>
        <w:jc w:val="left"/>
        <w:textAlignment w:val="baseline"/>
        <w:rPr>
          <w:rFonts w:hint="eastAsia" w:ascii="仿宋" w:hAnsi="仿宋" w:eastAsia="仿宋"/>
          <w:szCs w:val="21"/>
        </w:rPr>
      </w:pPr>
      <w:r>
        <w:rPr>
          <w:rFonts w:hint="eastAsia" w:ascii="仿宋" w:hAnsi="仿宋" w:eastAsia="仿宋"/>
          <w:szCs w:val="21"/>
        </w:rPr>
        <w:t xml:space="preserve">甲乙双方发生纠纷后，应通过友好协商解决，若协商达不成一致，在甲方所在地人民法院诉讼解决。       </w:t>
      </w:r>
    </w:p>
    <w:p>
      <w:pPr>
        <w:spacing w:before="156" w:beforeLines="50" w:after="156" w:afterLines="50" w:line="440" w:lineRule="exact"/>
        <w:jc w:val="left"/>
        <w:textAlignment w:val="baseline"/>
        <w:rPr>
          <w:rFonts w:hint="eastAsia" w:ascii="仿宋" w:hAnsi="仿宋" w:eastAsia="仿宋"/>
          <w:b/>
          <w:szCs w:val="21"/>
        </w:rPr>
      </w:pPr>
      <w:r>
        <w:rPr>
          <w:rFonts w:hint="eastAsia" w:ascii="仿宋" w:hAnsi="仿宋" w:eastAsia="仿宋"/>
          <w:b/>
          <w:szCs w:val="21"/>
        </w:rPr>
        <w:t>十一、未尽事宜，双方可签订补充协议，补充协议与本合同具有同等效力。</w:t>
      </w:r>
    </w:p>
    <w:p>
      <w:pPr>
        <w:spacing w:before="156" w:beforeLines="50" w:after="156" w:afterLines="50" w:line="440" w:lineRule="exact"/>
        <w:jc w:val="left"/>
        <w:textAlignment w:val="baseline"/>
        <w:rPr>
          <w:rFonts w:ascii="仿宋" w:hAnsi="仿宋" w:eastAsia="仿宋"/>
          <w:b/>
          <w:szCs w:val="21"/>
        </w:rPr>
      </w:pPr>
      <w:r>
        <w:rPr>
          <w:rFonts w:hint="eastAsia" w:ascii="仿宋" w:hAnsi="仿宋" w:eastAsia="仿宋"/>
          <w:b/>
          <w:szCs w:val="21"/>
        </w:rPr>
        <w:t>十二、本合同一式肆份，甲方执叁份，乙方执壹份。</w:t>
      </w:r>
    </w:p>
    <w:p>
      <w:pPr>
        <w:spacing w:before="156" w:beforeLines="50" w:after="156" w:afterLines="50" w:line="440" w:lineRule="exact"/>
        <w:jc w:val="left"/>
        <w:textAlignment w:val="baseline"/>
        <w:rPr>
          <w:rFonts w:hint="eastAsia" w:ascii="仿宋" w:hAnsi="仿宋" w:eastAsia="仿宋"/>
          <w:b/>
          <w:szCs w:val="21"/>
        </w:rPr>
      </w:pPr>
      <w:r>
        <w:rPr>
          <w:rFonts w:hint="eastAsia" w:ascii="仿宋" w:hAnsi="仿宋" w:eastAsia="仿宋"/>
          <w:b/>
          <w:szCs w:val="21"/>
        </w:rPr>
        <w:t>十三、本合同自双方代表签字和盖章之日起生效（扫描件同等效力）。</w:t>
      </w:r>
    </w:p>
    <w:p>
      <w:pPr>
        <w:spacing w:before="156" w:beforeLines="50" w:after="156" w:afterLines="50" w:line="440" w:lineRule="exact"/>
        <w:jc w:val="left"/>
        <w:textAlignment w:val="baseline"/>
        <w:rPr>
          <w:rFonts w:hint="default" w:ascii="仿宋" w:hAnsi="仿宋" w:eastAsia="仿宋"/>
          <w:b/>
          <w:szCs w:val="21"/>
          <w:lang w:val="en-US" w:eastAsia="zh-CN"/>
        </w:rPr>
      </w:pPr>
      <w:r>
        <w:rPr>
          <w:rFonts w:hint="eastAsia" w:ascii="仿宋" w:hAnsi="仿宋" w:eastAsia="仿宋"/>
          <w:b/>
          <w:szCs w:val="21"/>
          <w:lang w:val="en-US" w:eastAsia="zh-CN"/>
        </w:rPr>
        <w:t>（以下无正文）</w:t>
      </w: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lang w:val="en-US" w:eastAsia="zh-CN"/>
        </w:rPr>
        <w:t>甲</w:t>
      </w:r>
      <w:r>
        <w:rPr>
          <w:rFonts w:hint="eastAsia" w:hAnsi="Tms Rmn"/>
          <w:b/>
          <w:sz w:val="30"/>
          <w:szCs w:val="30"/>
        </w:rPr>
        <w:t>方：合江县国瑞港埠有限公司</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地址：四川省泸州市合江县临港街道天宝路365号2栋附2,3,4号</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法定代表人或委托代理人：</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电  话：0830-5262939</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开户银行：泸州银行股份有限公司合江支行</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帐  号：2010900000160569</w:t>
      </w:r>
    </w:p>
    <w:p>
      <w:pPr>
        <w:autoSpaceDE w:val="0"/>
        <w:autoSpaceDN w:val="0"/>
        <w:adjustRightInd w:val="0"/>
        <w:spacing w:line="540" w:lineRule="exact"/>
        <w:ind w:firstLine="602" w:firstLineChars="200"/>
        <w:rPr>
          <w:rFonts w:hint="eastAsia" w:hAnsi="Tms Rmn"/>
          <w:b/>
          <w:sz w:val="30"/>
          <w:szCs w:val="30"/>
        </w:rPr>
      </w:pP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乙方：</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地址：</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法定代表人或委托代理人：</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电  话：</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开户银行：</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帐  号：</w:t>
      </w:r>
    </w:p>
    <w:p>
      <w:pPr>
        <w:pStyle w:val="3"/>
        <w:rPr>
          <w:rStyle w:val="32"/>
          <w:rFonts w:hint="eastAsia"/>
          <w:sz w:val="32"/>
          <w:szCs w:val="32"/>
          <w:lang w:val="en-US" w:eastAsia="zh-CN"/>
        </w:rPr>
      </w:pPr>
    </w:p>
    <w:p>
      <w:pPr>
        <w:rPr>
          <w:rStyle w:val="32"/>
          <w:rFonts w:hint="eastAsia"/>
          <w:sz w:val="32"/>
          <w:szCs w:val="32"/>
          <w:lang w:val="en-US" w:eastAsia="zh-CN"/>
        </w:rPr>
      </w:pPr>
    </w:p>
    <w:p>
      <w:pPr>
        <w:pStyle w:val="2"/>
        <w:rPr>
          <w:rStyle w:val="32"/>
          <w:rFonts w:hint="eastAsia"/>
          <w:sz w:val="32"/>
          <w:szCs w:val="32"/>
          <w:lang w:val="en-US" w:eastAsia="zh-CN"/>
        </w:rPr>
      </w:pPr>
    </w:p>
    <w:p>
      <w:pPr>
        <w:pStyle w:val="3"/>
        <w:rPr>
          <w:rStyle w:val="32"/>
          <w:rFonts w:hint="eastAsia"/>
          <w:sz w:val="32"/>
          <w:szCs w:val="32"/>
          <w:lang w:val="en-US" w:eastAsia="zh-CN"/>
        </w:rPr>
      </w:pPr>
    </w:p>
    <w:p/>
    <w:p>
      <w:pPr>
        <w:numPr>
          <w:ilvl w:val="0"/>
          <w:numId w:val="4"/>
        </w:numPr>
        <w:jc w:val="center"/>
        <w:rPr>
          <w:rStyle w:val="32"/>
          <w:rFonts w:hint="eastAsia" w:ascii="Times New Roman" w:hAnsi="Times New Roman" w:eastAsia="宋体" w:cs="Times New Roman"/>
          <w:sz w:val="32"/>
          <w:szCs w:val="32"/>
          <w:lang w:val="en-US" w:eastAsia="zh-CN"/>
        </w:rPr>
        <w:sectPr>
          <w:footerReference r:id="rId3" w:type="default"/>
          <w:pgSz w:w="11906" w:h="16838"/>
          <w:pgMar w:top="1440" w:right="1803" w:bottom="1440" w:left="1803" w:header="851" w:footer="992" w:gutter="0"/>
          <w:pgNumType w:start="0"/>
          <w:cols w:space="0" w:num="1"/>
          <w:rtlGutter w:val="0"/>
          <w:docGrid w:type="lines" w:linePitch="319" w:charSpace="0"/>
        </w:sectPr>
      </w:pPr>
    </w:p>
    <w:p>
      <w:pPr>
        <w:numPr>
          <w:ilvl w:val="0"/>
          <w:numId w:val="4"/>
        </w:numPr>
        <w:jc w:val="center"/>
        <w:rPr>
          <w:rStyle w:val="32"/>
          <w:rFonts w:hint="eastAsia" w:ascii="Times New Roman" w:hAnsi="Times New Roman" w:eastAsia="宋体" w:cs="Times New Roman"/>
          <w:sz w:val="32"/>
          <w:szCs w:val="32"/>
          <w:lang w:val="en-US" w:eastAsia="zh-CN"/>
        </w:rPr>
      </w:pPr>
      <w:r>
        <w:rPr>
          <w:rStyle w:val="32"/>
          <w:rFonts w:hint="eastAsia" w:ascii="Times New Roman" w:hAnsi="Times New Roman" w:eastAsia="宋体" w:cs="Times New Roman"/>
          <w:sz w:val="32"/>
          <w:szCs w:val="32"/>
          <w:lang w:val="en-US" w:eastAsia="zh-CN"/>
        </w:rPr>
        <w:t>采购清单</w:t>
      </w:r>
    </w:p>
    <w:p>
      <w:pPr>
        <w:pStyle w:val="2"/>
        <w:rPr>
          <w:rStyle w:val="32"/>
          <w:rFonts w:hint="eastAsia" w:ascii="Times New Roman" w:hAnsi="Times New Roman" w:eastAsia="宋体" w:cs="Times New Roman"/>
          <w:sz w:val="32"/>
          <w:szCs w:val="32"/>
          <w:lang w:val="en-US" w:eastAsia="zh-CN"/>
        </w:rPr>
      </w:pPr>
    </w:p>
    <w:tbl>
      <w:tblPr>
        <w:tblStyle w:val="18"/>
        <w:tblpPr w:leftFromText="180" w:rightFromText="180" w:vertAnchor="text" w:horzAnchor="page" w:tblpX="1515" w:tblpY="607"/>
        <w:tblOverlap w:val="never"/>
        <w:tblW w:w="11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86"/>
        <w:gridCol w:w="1650"/>
        <w:gridCol w:w="1830"/>
        <w:gridCol w:w="795"/>
        <w:gridCol w:w="1342"/>
        <w:gridCol w:w="1562"/>
        <w:gridCol w:w="1214"/>
        <w:gridCol w:w="58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trPr>
        <w:tc>
          <w:tcPr>
            <w:tcW w:w="799"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序号</w:t>
            </w:r>
          </w:p>
        </w:tc>
        <w:tc>
          <w:tcPr>
            <w:tcW w:w="886"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名称</w:t>
            </w:r>
          </w:p>
        </w:tc>
        <w:tc>
          <w:tcPr>
            <w:tcW w:w="1650"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eastAsia="zh-CN" w:bidi="ar"/>
              </w:rPr>
            </w:pPr>
            <w:r>
              <w:rPr>
                <w:rFonts w:hint="eastAsia" w:ascii="方正楷体_GBK" w:hAnsi="方正楷体_GBK" w:eastAsia="方正楷体_GBK" w:cs="方正楷体_GBK"/>
                <w:color w:val="auto"/>
                <w:kern w:val="0"/>
                <w:sz w:val="21"/>
                <w:szCs w:val="21"/>
                <w:lang w:eastAsia="zh-CN" w:bidi="ar"/>
              </w:rPr>
              <w:t>项目</w:t>
            </w:r>
          </w:p>
        </w:tc>
        <w:tc>
          <w:tcPr>
            <w:tcW w:w="1830"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型号/</w:t>
            </w:r>
          </w:p>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规格/</w:t>
            </w:r>
          </w:p>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特征描述/参数</w:t>
            </w:r>
          </w:p>
        </w:tc>
        <w:tc>
          <w:tcPr>
            <w:tcW w:w="795"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单位</w:t>
            </w:r>
          </w:p>
        </w:tc>
        <w:tc>
          <w:tcPr>
            <w:tcW w:w="1342"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数量</w:t>
            </w:r>
          </w:p>
        </w:tc>
        <w:tc>
          <w:tcPr>
            <w:tcW w:w="1562"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综合单价（元）</w:t>
            </w:r>
          </w:p>
        </w:tc>
        <w:tc>
          <w:tcPr>
            <w:tcW w:w="1214"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合计</w:t>
            </w:r>
          </w:p>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（元）</w:t>
            </w:r>
          </w:p>
        </w:tc>
        <w:tc>
          <w:tcPr>
            <w:tcW w:w="583"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sz w:val="21"/>
                <w:szCs w:val="21"/>
              </w:rPr>
              <w:t>开票税率要求</w:t>
            </w:r>
          </w:p>
        </w:tc>
        <w:tc>
          <w:tcPr>
            <w:tcW w:w="1283"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sz w:val="21"/>
                <w:szCs w:val="21"/>
              </w:rPr>
              <w:t>图片</w:t>
            </w:r>
          </w:p>
          <w:p>
            <w:pPr>
              <w:widowControl/>
              <w:jc w:val="center"/>
              <w:textAlignment w:val="center"/>
              <w:rPr>
                <w:rFonts w:hint="eastAsia" w:ascii="方正楷体_GBK" w:hAnsi="方正楷体_GBK" w:eastAsia="方正楷体_GBK" w:cs="方正楷体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w:t>
            </w:r>
          </w:p>
        </w:tc>
        <w:tc>
          <w:tcPr>
            <w:tcW w:w="886" w:type="dxa"/>
            <w:vMerge w:val="restart"/>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金属落水系统</w:t>
            </w: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彩铝天沟</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0.9</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2180</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78480</w:t>
            </w:r>
          </w:p>
        </w:tc>
        <w:tc>
          <w:tcPr>
            <w:tcW w:w="583" w:type="dxa"/>
            <w:vMerge w:val="restart"/>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13%专票</w:t>
            </w: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480060"/>
                  <wp:effectExtent l="0" t="0" r="13335" b="15240"/>
                  <wp:docPr id="102" name="图片 100" descr="a78daf2933e16a64a6ffcf8ec7da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0" descr="a78daf2933e16a64a6ffcf8ec7da9ac"/>
                          <pic:cNvPicPr>
                            <a:picLocks noChangeAspect="1"/>
                          </pic:cNvPicPr>
                        </pic:nvPicPr>
                        <pic:blipFill>
                          <a:blip r:embed="rId6"/>
                          <a:stretch>
                            <a:fillRect/>
                          </a:stretch>
                        </pic:blipFill>
                        <pic:spPr>
                          <a:xfrm>
                            <a:off x="0" y="0"/>
                            <a:ext cx="710565" cy="480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吊件</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1.8</w:t>
            </w:r>
            <w:r>
              <w:rPr>
                <w:rFonts w:hint="eastAsia"/>
                <w:color w:val="auto"/>
                <w:sz w:val="21"/>
                <w:szCs w:val="21"/>
                <w:highlight w:val="none"/>
              </w:rPr>
              <w:t>mm</w:t>
            </w:r>
          </w:p>
        </w:tc>
        <w:tc>
          <w:tcPr>
            <w:tcW w:w="795"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3920</w:t>
            </w:r>
          </w:p>
        </w:tc>
        <w:tc>
          <w:tcPr>
            <w:tcW w:w="1562" w:type="dxa"/>
            <w:noWrap w:val="0"/>
            <w:vAlign w:val="center"/>
          </w:tcPr>
          <w:p>
            <w:pPr>
              <w:tabs>
                <w:tab w:val="left" w:pos="350"/>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19600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462915"/>
                  <wp:effectExtent l="0" t="0" r="12700" b="13335"/>
                  <wp:docPr id="103" name="图片 101" descr="a62e1aba5fc194dabec4469d903dd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1" descr="a62e1aba5fc194dabec4469d903ddd3"/>
                          <pic:cNvPicPr>
                            <a:picLocks noChangeAspect="1"/>
                          </pic:cNvPicPr>
                        </pic:nvPicPr>
                        <pic:blipFill>
                          <a:blip r:embed="rId7"/>
                          <a:stretch>
                            <a:fillRect/>
                          </a:stretch>
                        </pic:blipFill>
                        <pic:spPr>
                          <a:xfrm>
                            <a:off x="0" y="0"/>
                            <a:ext cx="711200" cy="4629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封盖</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2412</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930" cy="438150"/>
                  <wp:effectExtent l="0" t="0" r="13970" b="0"/>
                  <wp:docPr id="101" name="图片 102" descr="c943756fb5377e8c801283511980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2" descr="c943756fb5377e8c801283511980bca"/>
                          <pic:cNvPicPr>
                            <a:picLocks noChangeAspect="1"/>
                          </pic:cNvPicPr>
                        </pic:nvPicPr>
                        <pic:blipFill>
                          <a:blip r:embed="rId8"/>
                          <a:stretch>
                            <a:fillRect/>
                          </a:stretch>
                        </pic:blipFill>
                        <pic:spPr>
                          <a:xfrm>
                            <a:off x="0" y="0"/>
                            <a:ext cx="709930" cy="438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90</w:t>
            </w:r>
            <w:r>
              <w:rPr>
                <w:rFonts w:hint="eastAsia" w:ascii="微软雅黑" w:hAnsi="微软雅黑" w:eastAsia="微软雅黑" w:cs="微软雅黑"/>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阴角</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215</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24.5</w:t>
            </w: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5267.5</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930" cy="414655"/>
                  <wp:effectExtent l="0" t="0" r="13970" b="4445"/>
                  <wp:docPr id="104" name="图片 103" descr="214fb72fffc6e490e2d086f2ce1c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3" descr="214fb72fffc6e490e2d086f2ce1c635"/>
                          <pic:cNvPicPr>
                            <a:picLocks noChangeAspect="1"/>
                          </pic:cNvPicPr>
                        </pic:nvPicPr>
                        <pic:blipFill>
                          <a:blip r:embed="rId9"/>
                          <a:stretch>
                            <a:fillRect/>
                          </a:stretch>
                        </pic:blipFill>
                        <pic:spPr>
                          <a:xfrm>
                            <a:off x="0" y="0"/>
                            <a:ext cx="709930" cy="4146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886" w:type="dxa"/>
            <w:vMerge w:val="continue"/>
            <w:noWrap w:val="0"/>
            <w:vAlign w:val="center"/>
          </w:tcPr>
          <w:p>
            <w:pPr>
              <w:tabs>
                <w:tab w:val="left" w:pos="13270"/>
              </w:tabs>
              <w:jc w:val="center"/>
              <w:rPr>
                <w:rFonts w:hint="eastAsia"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90</w:t>
            </w:r>
            <w:r>
              <w:rPr>
                <w:rFonts w:hint="eastAsia" w:ascii="微软雅黑" w:hAnsi="微软雅黑" w:eastAsia="微软雅黑" w:cs="微软雅黑"/>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阳角</w:t>
            </w:r>
          </w:p>
        </w:tc>
        <w:tc>
          <w:tcPr>
            <w:tcW w:w="1830" w:type="dxa"/>
            <w:noWrap w:val="0"/>
            <w:vAlign w:val="center"/>
          </w:tcPr>
          <w:p>
            <w:pPr>
              <w:jc w:val="center"/>
              <w:rPr>
                <w:rFonts w:hint="default" w:ascii="仿宋" w:hAnsi="仿宋" w:eastAsia="仿宋" w:cs="仿宋"/>
                <w:color w:val="auto"/>
                <w:kern w:val="2"/>
                <w:sz w:val="21"/>
                <w:szCs w:val="21"/>
                <w:highlight w:val="none"/>
                <w:lang w:val="en-US" w:eastAsia="zh-CN" w:bidi="ar-SA"/>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249</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24.5</w:t>
            </w: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6100.5</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295" cy="461645"/>
                  <wp:effectExtent l="0" t="0" r="14605" b="14605"/>
                  <wp:docPr id="100" name="图片 104" descr="dc71944f323e6db621bf94ae9f69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4" descr="dc71944f323e6db621bf94ae9f69bb5"/>
                          <pic:cNvPicPr>
                            <a:picLocks noChangeAspect="1"/>
                          </pic:cNvPicPr>
                        </pic:nvPicPr>
                        <pic:blipFill>
                          <a:blip r:embed="rId10"/>
                          <a:stretch>
                            <a:fillRect/>
                          </a:stretch>
                        </pic:blipFill>
                        <pic:spPr>
                          <a:xfrm>
                            <a:off x="0" y="0"/>
                            <a:ext cx="709295" cy="4616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886" w:type="dxa"/>
            <w:vMerge w:val="restart"/>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金属落水系统</w:t>
            </w: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挡叶网</w:t>
            </w:r>
          </w:p>
        </w:tc>
        <w:tc>
          <w:tcPr>
            <w:tcW w:w="1830" w:type="dxa"/>
            <w:noWrap w:val="0"/>
            <w:vAlign w:val="center"/>
          </w:tcPr>
          <w:p>
            <w:pPr>
              <w:jc w:val="center"/>
              <w:rPr>
                <w:rFonts w:hint="default" w:ascii="仿宋" w:hAnsi="仿宋" w:eastAsia="仿宋" w:cs="仿宋"/>
                <w:color w:val="auto"/>
                <w:kern w:val="2"/>
                <w:sz w:val="22"/>
                <w:szCs w:val="22"/>
                <w:highlight w:val="none"/>
                <w:lang w:val="en-US" w:eastAsia="zh-CN" w:bidi="ar-SA"/>
              </w:rPr>
            </w:pPr>
            <w:r>
              <w:rPr>
                <w:rFonts w:hint="eastAsia"/>
                <w:color w:val="auto"/>
                <w:highlight w:val="none"/>
              </w:rPr>
              <w:t>7K有封边</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2180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8.5</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18530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6120" cy="372110"/>
                  <wp:effectExtent l="0" t="0" r="17780" b="8890"/>
                  <wp:docPr id="113" name="图片 105" descr="b0e75725dfaa1749c22e06a6db65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05" descr="b0e75725dfaa1749c22e06a6db6588b"/>
                          <pic:cNvPicPr>
                            <a:picLocks noChangeAspect="1"/>
                          </pic:cNvPicPr>
                        </pic:nvPicPr>
                        <pic:blipFill>
                          <a:blip r:embed="rId11"/>
                          <a:stretch>
                            <a:fillRect/>
                          </a:stretch>
                        </pic:blipFill>
                        <pic:spPr>
                          <a:xfrm>
                            <a:off x="0" y="0"/>
                            <a:ext cx="706120" cy="3721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雨水管</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0.9</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3208</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23</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73784</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549275"/>
                  <wp:effectExtent l="0" t="0" r="13335" b="3175"/>
                  <wp:docPr id="112" name="图片 106" descr="057b06448c1ceaf7882e8530b62c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06" descr="057b06448c1ceaf7882e8530b62c14f"/>
                          <pic:cNvPicPr>
                            <a:picLocks noChangeAspect="1"/>
                          </pic:cNvPicPr>
                        </pic:nvPicPr>
                        <pic:blipFill>
                          <a:blip r:embed="rId12"/>
                          <a:stretch>
                            <a:fillRect/>
                          </a:stretch>
                        </pic:blipFill>
                        <pic:spPr>
                          <a:xfrm>
                            <a:off x="0" y="0"/>
                            <a:ext cx="710565" cy="5492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管卡</w:t>
            </w:r>
          </w:p>
        </w:tc>
        <w:tc>
          <w:tcPr>
            <w:tcW w:w="1830"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60*8</w:t>
            </w:r>
            <w:r>
              <w:rPr>
                <w:rFonts w:hint="eastAsia" w:ascii="仿宋" w:hAnsi="仿宋" w:eastAsia="仿宋" w:cs="仿宋"/>
                <w:color w:val="auto"/>
                <w:sz w:val="22"/>
                <w:szCs w:val="22"/>
                <w:highlight w:val="none"/>
                <w:lang w:val="en-US" w:eastAsia="zh-CN"/>
              </w:rPr>
              <w:t>0</w:t>
            </w:r>
            <w:r>
              <w:rPr>
                <w:rFonts w:hint="default" w:ascii="仿宋" w:hAnsi="仿宋" w:eastAsia="仿宋" w:cs="仿宋"/>
                <w:color w:val="auto"/>
                <w:sz w:val="22"/>
                <w:szCs w:val="22"/>
                <w:highlight w:val="none"/>
                <w:lang w:val="en-US" w:eastAsia="zh-CN"/>
              </w:rPr>
              <w:t>厚度0.7mm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2592</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3.5</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9072</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24510"/>
                  <wp:effectExtent l="0" t="0" r="12700" b="8890"/>
                  <wp:docPr id="105" name="图片 107" descr="b1e9e67832a0ac9cb4cd5891b872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7" descr="b1e9e67832a0ac9cb4cd5891b872bd7"/>
                          <pic:cNvPicPr>
                            <a:picLocks noChangeAspect="1"/>
                          </pic:cNvPicPr>
                        </pic:nvPicPr>
                        <pic:blipFill>
                          <a:blip r:embed="rId13"/>
                          <a:stretch>
                            <a:fillRect/>
                          </a:stretch>
                        </pic:blipFill>
                        <pic:spPr>
                          <a:xfrm>
                            <a:off x="0" y="0"/>
                            <a:ext cx="711200" cy="5245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65°正弯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1650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16500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79755"/>
                  <wp:effectExtent l="0" t="0" r="12700" b="10795"/>
                  <wp:docPr id="106" name="图片 108" descr="8a68f9e13b843a08ef7aca51283e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8" descr="8a68f9e13b843a08ef7aca51283e941"/>
                          <pic:cNvPicPr>
                            <a:picLocks noChangeAspect="1"/>
                          </pic:cNvPicPr>
                        </pic:nvPicPr>
                        <pic:blipFill>
                          <a:blip r:embed="rId14"/>
                          <a:stretch>
                            <a:fillRect/>
                          </a:stretch>
                        </pic:blipFill>
                        <pic:spPr>
                          <a:xfrm>
                            <a:off x="0" y="0"/>
                            <a:ext cx="711200" cy="5797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65°侧弯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275</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2750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648335"/>
                  <wp:effectExtent l="0" t="0" r="12700" b="18415"/>
                  <wp:docPr id="107" name="图片 109" descr="45320a3e08cd47884c6a33dede8e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9" descr="45320a3e08cd47884c6a33dede8e277"/>
                          <pic:cNvPicPr>
                            <a:picLocks noChangeAspect="1"/>
                          </pic:cNvPicPr>
                        </pic:nvPicPr>
                        <pic:blipFill>
                          <a:blip r:embed="rId15"/>
                          <a:stretch>
                            <a:fillRect/>
                          </a:stretch>
                        </pic:blipFill>
                        <pic:spPr>
                          <a:xfrm>
                            <a:off x="0" y="0"/>
                            <a:ext cx="711200" cy="64833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90°正弯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82295"/>
                  <wp:effectExtent l="0" t="0" r="12700" b="8255"/>
                  <wp:docPr id="108" name="图片 110" descr="70935301dd6c6878e18d54eb2240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10" descr="70935301dd6c6878e18d54eb2240a1a"/>
                          <pic:cNvPicPr>
                            <a:picLocks noChangeAspect="1"/>
                          </pic:cNvPicPr>
                        </pic:nvPicPr>
                        <pic:blipFill>
                          <a:blip r:embed="rId16"/>
                          <a:stretch>
                            <a:fillRect/>
                          </a:stretch>
                        </pic:blipFill>
                        <pic:spPr>
                          <a:xfrm>
                            <a:off x="0" y="0"/>
                            <a:ext cx="711200" cy="5822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90°侧弯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2200</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653415"/>
                  <wp:effectExtent l="0" t="0" r="13335" b="13335"/>
                  <wp:docPr id="111" name="图片 111" descr="9b7ef94badb2b568599b60b14496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9b7ef94badb2b568599b60b14496d55"/>
                          <pic:cNvPicPr>
                            <a:picLocks noChangeAspect="1"/>
                          </pic:cNvPicPr>
                        </pic:nvPicPr>
                        <pic:blipFill>
                          <a:blip r:embed="rId17"/>
                          <a:stretch>
                            <a:fillRect/>
                          </a:stretch>
                        </pic:blipFill>
                        <pic:spPr>
                          <a:xfrm>
                            <a:off x="0" y="0"/>
                            <a:ext cx="710565" cy="6534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管连接件</w:t>
            </w:r>
          </w:p>
        </w:tc>
        <w:tc>
          <w:tcPr>
            <w:tcW w:w="1830" w:type="dxa"/>
            <w:noWrap w:val="0"/>
            <w:vAlign w:val="center"/>
          </w:tcPr>
          <w:p>
            <w:pPr>
              <w:jc w:val="center"/>
              <w:rPr>
                <w:rFonts w:hint="eastAsia"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1.6</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850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8.5</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7225</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636270"/>
                  <wp:effectExtent l="0" t="0" r="12700" b="11430"/>
                  <wp:docPr id="110" name="图片 112" descr="b82e214d79eda4dffd29fbd8bcd4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2" descr="b82e214d79eda4dffd29fbd8bcd412e"/>
                          <pic:cNvPicPr>
                            <a:picLocks noChangeAspect="1"/>
                          </pic:cNvPicPr>
                        </pic:nvPicPr>
                        <pic:blipFill>
                          <a:blip r:embed="rId18"/>
                          <a:stretch>
                            <a:fillRect/>
                          </a:stretch>
                        </pic:blipFill>
                        <pic:spPr>
                          <a:xfrm>
                            <a:off x="0" y="0"/>
                            <a:ext cx="711200" cy="6362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下水器</w:t>
            </w:r>
          </w:p>
        </w:tc>
        <w:tc>
          <w:tcPr>
            <w:tcW w:w="1830" w:type="dxa"/>
            <w:noWrap w:val="0"/>
            <w:vAlign w:val="center"/>
          </w:tcPr>
          <w:p>
            <w:pPr>
              <w:jc w:val="center"/>
              <w:rPr>
                <w:rFonts w:hint="eastAsia"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厚度0.</w:t>
            </w:r>
            <w:r>
              <w:rPr>
                <w:rFonts w:hint="eastAsia"/>
                <w:color w:val="auto"/>
                <w:highlight w:val="none"/>
                <w:lang w:val="en-US" w:eastAsia="zh-CN"/>
              </w:rPr>
              <w:t>6</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213</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1171.5</w:t>
            </w: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55625"/>
                  <wp:effectExtent l="0" t="0" r="12700" b="15875"/>
                  <wp:docPr id="109" name="图片 113" descr="d0f2f33c0b16b7cd3a7dca58e50d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13" descr="d0f2f33c0b16b7cd3a7dca58e50d629"/>
                          <pic:cNvPicPr>
                            <a:picLocks noChangeAspect="1"/>
                          </pic:cNvPicPr>
                        </pic:nvPicPr>
                        <pic:blipFill>
                          <a:blip r:embed="rId19"/>
                          <a:stretch>
                            <a:fillRect/>
                          </a:stretch>
                        </pic:blipFill>
                        <pic:spPr>
                          <a:xfrm>
                            <a:off x="0" y="0"/>
                            <a:ext cx="711200" cy="555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c>
          <w:tcPr>
            <w:tcW w:w="886"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烟道</w:t>
            </w:r>
          </w:p>
        </w:tc>
        <w:tc>
          <w:tcPr>
            <w:tcW w:w="1650"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钢筋混凝土</w:t>
            </w:r>
          </w:p>
        </w:tc>
        <w:tc>
          <w:tcPr>
            <w:tcW w:w="1830"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250*250厚度5cm</w:t>
            </w:r>
          </w:p>
        </w:tc>
        <w:tc>
          <w:tcPr>
            <w:tcW w:w="795"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m</w:t>
            </w:r>
          </w:p>
        </w:tc>
        <w:tc>
          <w:tcPr>
            <w:tcW w:w="1342"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700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40</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28000</w:t>
            </w:r>
          </w:p>
        </w:tc>
        <w:tc>
          <w:tcPr>
            <w:tcW w:w="583" w:type="dxa"/>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64" w:type="dxa"/>
            <w:gridSpan w:val="7"/>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合计</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273292.5</w:t>
            </w:r>
          </w:p>
        </w:tc>
        <w:tc>
          <w:tcPr>
            <w:tcW w:w="583"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rPr>
            </w:pPr>
          </w:p>
        </w:tc>
      </w:tr>
    </w:tbl>
    <w:p>
      <w:pPr>
        <w:pStyle w:val="3"/>
        <w:rPr>
          <w:rFonts w:hint="eastAsia"/>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20" w:firstLineChars="200"/>
        <w:jc w:val="left"/>
        <w:rPr>
          <w:rFonts w:hint="default" w:asciiTheme="minorEastAsia" w:hAnsiTheme="minorEastAsia" w:cstheme="minorEastAsia"/>
          <w:kern w:val="0"/>
          <w:sz w:val="21"/>
          <w:szCs w:val="21"/>
          <w:lang w:val="en-US" w:eastAsia="zh-CN"/>
        </w:rPr>
        <w:sectPr>
          <w:pgSz w:w="16838" w:h="11906" w:orient="landscape"/>
          <w:pgMar w:top="1803" w:right="1440" w:bottom="1803" w:left="1440" w:header="851" w:footer="992" w:gutter="0"/>
          <w:pgNumType w:start="0"/>
          <w:cols w:space="0" w:num="1"/>
          <w:rtlGutter w:val="0"/>
          <w:docGrid w:type="lines" w:linePitch="319" w:charSpace="0"/>
        </w:sect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、风险、保险、利润、税金、等费用。</w:t>
      </w:r>
    </w:p>
    <w:p>
      <w:pPr>
        <w:pStyle w:val="2"/>
        <w:rPr>
          <w:rFonts w:hint="eastAsia"/>
        </w:rPr>
        <w:sectPr>
          <w:pgSz w:w="11906" w:h="16838"/>
          <w:pgMar w:top="1440" w:right="1803" w:bottom="1440" w:left="1803" w:header="851" w:footer="992" w:gutter="0"/>
          <w:pgNumType w:start="0"/>
          <w:cols w:space="0" w:num="1"/>
          <w:rtlGutter w:val="0"/>
          <w:docGrid w:type="lines" w:linePitch="319" w:charSpace="0"/>
        </w:sectPr>
      </w:pPr>
    </w:p>
    <w:p>
      <w:pPr>
        <w:jc w:val="center"/>
        <w:rPr>
          <w:rFonts w:hint="default"/>
          <w:lang w:val="en-US"/>
        </w:rPr>
      </w:pPr>
      <w:bookmarkStart w:id="14" w:name="_Toc21698"/>
      <w:bookmarkStart w:id="15" w:name="_Toc31016"/>
      <w:r>
        <w:rPr>
          <w:rStyle w:val="32"/>
          <w:rFonts w:hint="eastAsia"/>
          <w:sz w:val="32"/>
          <w:szCs w:val="32"/>
          <w:lang w:val="en-US" w:eastAsia="zh-CN"/>
        </w:rPr>
        <w:t>第六章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p>
    <w:p>
      <w:pPr>
        <w:numPr>
          <w:ilvl w:val="0"/>
          <w:numId w:val="5"/>
        </w:numPr>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tbl>
      <w:tblPr>
        <w:tblStyle w:val="18"/>
        <w:tblpPr w:leftFromText="180" w:rightFromText="180" w:vertAnchor="text" w:horzAnchor="page" w:tblpX="1515" w:tblpY="607"/>
        <w:tblOverlap w:val="never"/>
        <w:tblW w:w="11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86"/>
        <w:gridCol w:w="1650"/>
        <w:gridCol w:w="1830"/>
        <w:gridCol w:w="795"/>
        <w:gridCol w:w="1342"/>
        <w:gridCol w:w="1562"/>
        <w:gridCol w:w="1214"/>
        <w:gridCol w:w="58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trPr>
        <w:tc>
          <w:tcPr>
            <w:tcW w:w="7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楷体_GBK" w:hAnsi="方正楷体_GBK" w:eastAsia="方正楷体_GBK" w:cs="方正楷体_GBK"/>
                <w:color w:val="auto"/>
                <w:sz w:val="21"/>
                <w:szCs w:val="21"/>
              </w:rPr>
            </w:pPr>
            <w:r>
              <w:rPr>
                <w:rFonts w:hint="eastAsia" w:asciiTheme="minorEastAsia" w:hAnsiTheme="minorEastAsia" w:eastAsiaTheme="minorEastAsia" w:cstheme="minorEastAsia"/>
                <w:kern w:val="0"/>
                <w:sz w:val="21"/>
                <w:szCs w:val="21"/>
              </w:rPr>
              <w:t xml:space="preserve"> </w:t>
            </w:r>
            <w:r>
              <w:rPr>
                <w:rFonts w:hint="eastAsia" w:ascii="方正楷体_GBK" w:hAnsi="方正楷体_GBK" w:eastAsia="方正楷体_GBK" w:cs="方正楷体_GBK"/>
                <w:color w:val="auto"/>
                <w:kern w:val="0"/>
                <w:sz w:val="21"/>
                <w:szCs w:val="21"/>
                <w:lang w:bidi="ar"/>
              </w:rPr>
              <w:t>序号</w:t>
            </w:r>
          </w:p>
        </w:tc>
        <w:tc>
          <w:tcPr>
            <w:tcW w:w="886"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名称</w:t>
            </w:r>
          </w:p>
        </w:tc>
        <w:tc>
          <w:tcPr>
            <w:tcW w:w="1650"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eastAsia="zh-CN" w:bidi="ar"/>
              </w:rPr>
            </w:pPr>
            <w:r>
              <w:rPr>
                <w:rFonts w:hint="eastAsia" w:ascii="方正楷体_GBK" w:hAnsi="方正楷体_GBK" w:eastAsia="方正楷体_GBK" w:cs="方正楷体_GBK"/>
                <w:color w:val="auto"/>
                <w:kern w:val="0"/>
                <w:sz w:val="21"/>
                <w:szCs w:val="21"/>
                <w:lang w:eastAsia="zh-CN" w:bidi="ar"/>
              </w:rPr>
              <w:t>项目</w:t>
            </w:r>
          </w:p>
        </w:tc>
        <w:tc>
          <w:tcPr>
            <w:tcW w:w="1830"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型号/</w:t>
            </w:r>
          </w:p>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规格/</w:t>
            </w:r>
          </w:p>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特征描述/参数</w:t>
            </w:r>
          </w:p>
        </w:tc>
        <w:tc>
          <w:tcPr>
            <w:tcW w:w="795"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单位</w:t>
            </w:r>
          </w:p>
        </w:tc>
        <w:tc>
          <w:tcPr>
            <w:tcW w:w="1342"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数量</w:t>
            </w:r>
          </w:p>
        </w:tc>
        <w:tc>
          <w:tcPr>
            <w:tcW w:w="1562"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综合单价（元）</w:t>
            </w:r>
          </w:p>
        </w:tc>
        <w:tc>
          <w:tcPr>
            <w:tcW w:w="1214" w:type="dxa"/>
            <w:noWrap w:val="0"/>
            <w:vAlign w:val="center"/>
          </w:tcPr>
          <w:p>
            <w:pPr>
              <w:widowControl/>
              <w:jc w:val="center"/>
              <w:textAlignment w:val="center"/>
              <w:rPr>
                <w:rFonts w:hint="eastAsia" w:ascii="方正楷体_GBK" w:hAnsi="方正楷体_GBK" w:eastAsia="方正楷体_GBK" w:cs="方正楷体_GBK"/>
                <w:color w:val="auto"/>
                <w:kern w:val="0"/>
                <w:sz w:val="21"/>
                <w:szCs w:val="21"/>
                <w:lang w:bidi="ar"/>
              </w:rPr>
            </w:pPr>
            <w:r>
              <w:rPr>
                <w:rFonts w:hint="eastAsia" w:ascii="方正楷体_GBK" w:hAnsi="方正楷体_GBK" w:eastAsia="方正楷体_GBK" w:cs="方正楷体_GBK"/>
                <w:color w:val="auto"/>
                <w:kern w:val="0"/>
                <w:sz w:val="21"/>
                <w:szCs w:val="21"/>
                <w:lang w:bidi="ar"/>
              </w:rPr>
              <w:t>合计</w:t>
            </w:r>
          </w:p>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kern w:val="0"/>
                <w:sz w:val="21"/>
                <w:szCs w:val="21"/>
                <w:lang w:bidi="ar"/>
              </w:rPr>
              <w:t>（元）</w:t>
            </w:r>
          </w:p>
        </w:tc>
        <w:tc>
          <w:tcPr>
            <w:tcW w:w="583"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sz w:val="21"/>
                <w:szCs w:val="21"/>
              </w:rPr>
              <w:t>开票税率要求</w:t>
            </w:r>
          </w:p>
        </w:tc>
        <w:tc>
          <w:tcPr>
            <w:tcW w:w="1283" w:type="dxa"/>
            <w:noWrap w:val="0"/>
            <w:vAlign w:val="center"/>
          </w:tcPr>
          <w:p>
            <w:pPr>
              <w:widowControl/>
              <w:jc w:val="center"/>
              <w:textAlignment w:val="center"/>
              <w:rPr>
                <w:rFonts w:hint="eastAsia" w:ascii="方正楷体_GBK" w:hAnsi="方正楷体_GBK" w:eastAsia="方正楷体_GBK" w:cs="方正楷体_GBK"/>
                <w:color w:val="auto"/>
                <w:sz w:val="21"/>
                <w:szCs w:val="21"/>
              </w:rPr>
            </w:pPr>
            <w:r>
              <w:rPr>
                <w:rFonts w:hint="eastAsia" w:ascii="方正楷体_GBK" w:hAnsi="方正楷体_GBK" w:eastAsia="方正楷体_GBK" w:cs="方正楷体_GBK"/>
                <w:color w:val="auto"/>
                <w:sz w:val="21"/>
                <w:szCs w:val="21"/>
              </w:rPr>
              <w:t>图片</w:t>
            </w:r>
          </w:p>
          <w:p>
            <w:pPr>
              <w:widowControl/>
              <w:jc w:val="center"/>
              <w:textAlignment w:val="center"/>
              <w:rPr>
                <w:rFonts w:hint="eastAsia" w:ascii="方正楷体_GBK" w:hAnsi="方正楷体_GBK" w:eastAsia="方正楷体_GBK" w:cs="方正楷体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w:t>
            </w:r>
          </w:p>
        </w:tc>
        <w:tc>
          <w:tcPr>
            <w:tcW w:w="886" w:type="dxa"/>
            <w:vMerge w:val="restart"/>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金属落水系统</w:t>
            </w: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彩铝天沟</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0.9</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2180</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583" w:type="dxa"/>
            <w:vMerge w:val="restart"/>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13%专票</w:t>
            </w: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480060"/>
                  <wp:effectExtent l="0" t="0" r="13335" b="15240"/>
                  <wp:docPr id="114" name="图片 100" descr="a78daf2933e16a64a6ffcf8ec7da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00" descr="a78daf2933e16a64a6ffcf8ec7da9ac"/>
                          <pic:cNvPicPr>
                            <a:picLocks noChangeAspect="1"/>
                          </pic:cNvPicPr>
                        </pic:nvPicPr>
                        <pic:blipFill>
                          <a:blip r:embed="rId6"/>
                          <a:stretch>
                            <a:fillRect/>
                          </a:stretch>
                        </pic:blipFill>
                        <pic:spPr>
                          <a:xfrm>
                            <a:off x="0" y="0"/>
                            <a:ext cx="710565" cy="480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吊件</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1.8</w:t>
            </w:r>
            <w:r>
              <w:rPr>
                <w:rFonts w:hint="eastAsia"/>
                <w:color w:val="auto"/>
                <w:sz w:val="21"/>
                <w:szCs w:val="21"/>
                <w:highlight w:val="none"/>
              </w:rPr>
              <w:t>mm</w:t>
            </w:r>
          </w:p>
        </w:tc>
        <w:tc>
          <w:tcPr>
            <w:tcW w:w="795"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3920</w:t>
            </w:r>
          </w:p>
        </w:tc>
        <w:tc>
          <w:tcPr>
            <w:tcW w:w="1562" w:type="dxa"/>
            <w:noWrap w:val="0"/>
            <w:vAlign w:val="center"/>
          </w:tcPr>
          <w:p>
            <w:pPr>
              <w:tabs>
                <w:tab w:val="left" w:pos="350"/>
                <w:tab w:val="left" w:pos="13270"/>
              </w:tabs>
              <w:jc w:val="center"/>
              <w:rPr>
                <w:rFonts w:hint="default" w:ascii="仿宋" w:hAnsi="仿宋" w:eastAsia="仿宋" w:cs="仿宋"/>
                <w:color w:val="auto"/>
                <w:sz w:val="21"/>
                <w:szCs w:val="21"/>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462915"/>
                  <wp:effectExtent l="0" t="0" r="12700" b="13335"/>
                  <wp:docPr id="115" name="图片 101" descr="a62e1aba5fc194dabec4469d903dd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1" descr="a62e1aba5fc194dabec4469d903ddd3"/>
                          <pic:cNvPicPr>
                            <a:picLocks noChangeAspect="1"/>
                          </pic:cNvPicPr>
                        </pic:nvPicPr>
                        <pic:blipFill>
                          <a:blip r:embed="rId7"/>
                          <a:stretch>
                            <a:fillRect/>
                          </a:stretch>
                        </pic:blipFill>
                        <pic:spPr>
                          <a:xfrm>
                            <a:off x="0" y="0"/>
                            <a:ext cx="711200" cy="4629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noWrap w:val="0"/>
            <w:vAlign w:val="center"/>
          </w:tcPr>
          <w:p>
            <w:pPr>
              <w:widowControl/>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封盖</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930" cy="438150"/>
                  <wp:effectExtent l="0" t="0" r="13970" b="0"/>
                  <wp:docPr id="116" name="图片 102" descr="c943756fb5377e8c801283511980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02" descr="c943756fb5377e8c801283511980bca"/>
                          <pic:cNvPicPr>
                            <a:picLocks noChangeAspect="1"/>
                          </pic:cNvPicPr>
                        </pic:nvPicPr>
                        <pic:blipFill>
                          <a:blip r:embed="rId8"/>
                          <a:stretch>
                            <a:fillRect/>
                          </a:stretch>
                        </pic:blipFill>
                        <pic:spPr>
                          <a:xfrm>
                            <a:off x="0" y="0"/>
                            <a:ext cx="709930" cy="438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886" w:type="dxa"/>
            <w:vMerge w:val="continue"/>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90</w:t>
            </w:r>
            <w:r>
              <w:rPr>
                <w:rFonts w:hint="eastAsia" w:ascii="微软雅黑" w:hAnsi="微软雅黑" w:eastAsia="微软雅黑" w:cs="微软雅黑"/>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阴角</w:t>
            </w:r>
          </w:p>
        </w:tc>
        <w:tc>
          <w:tcPr>
            <w:tcW w:w="1830" w:type="dxa"/>
            <w:noWrap w:val="0"/>
            <w:vAlign w:val="center"/>
          </w:tcPr>
          <w:p>
            <w:pPr>
              <w:jc w:val="center"/>
              <w:rPr>
                <w:rFonts w:hint="default" w:ascii="仿宋" w:hAnsi="仿宋" w:eastAsia="仿宋" w:cs="仿宋"/>
                <w:color w:val="auto"/>
                <w:sz w:val="21"/>
                <w:szCs w:val="21"/>
                <w:highlight w:val="none"/>
                <w:lang w:val="en-US" w:eastAsia="zh-CN"/>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215</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930" cy="414655"/>
                  <wp:effectExtent l="0" t="0" r="13970" b="4445"/>
                  <wp:docPr id="117" name="图片 103" descr="214fb72fffc6e490e2d086f2ce1c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03" descr="214fb72fffc6e490e2d086f2ce1c635"/>
                          <pic:cNvPicPr>
                            <a:picLocks noChangeAspect="1"/>
                          </pic:cNvPicPr>
                        </pic:nvPicPr>
                        <pic:blipFill>
                          <a:blip r:embed="rId9"/>
                          <a:stretch>
                            <a:fillRect/>
                          </a:stretch>
                        </pic:blipFill>
                        <pic:spPr>
                          <a:xfrm>
                            <a:off x="0" y="0"/>
                            <a:ext cx="709930" cy="4146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886" w:type="dxa"/>
            <w:vMerge w:val="continue"/>
            <w:noWrap w:val="0"/>
            <w:vAlign w:val="center"/>
          </w:tcPr>
          <w:p>
            <w:pPr>
              <w:tabs>
                <w:tab w:val="left" w:pos="13270"/>
              </w:tabs>
              <w:jc w:val="center"/>
              <w:rPr>
                <w:rFonts w:hint="eastAsia" w:ascii="仿宋" w:hAnsi="仿宋" w:eastAsia="仿宋" w:cs="仿宋"/>
                <w:color w:val="auto"/>
                <w:sz w:val="21"/>
                <w:szCs w:val="21"/>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90</w:t>
            </w:r>
            <w:r>
              <w:rPr>
                <w:rFonts w:hint="eastAsia" w:ascii="微软雅黑" w:hAnsi="微软雅黑" w:eastAsia="微软雅黑" w:cs="微软雅黑"/>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阳角</w:t>
            </w:r>
          </w:p>
        </w:tc>
        <w:tc>
          <w:tcPr>
            <w:tcW w:w="1830" w:type="dxa"/>
            <w:noWrap w:val="0"/>
            <w:vAlign w:val="center"/>
          </w:tcPr>
          <w:p>
            <w:pPr>
              <w:jc w:val="center"/>
              <w:rPr>
                <w:rFonts w:hint="default" w:ascii="仿宋" w:hAnsi="仿宋" w:eastAsia="仿宋" w:cs="仿宋"/>
                <w:color w:val="auto"/>
                <w:kern w:val="2"/>
                <w:sz w:val="21"/>
                <w:szCs w:val="21"/>
                <w:highlight w:val="none"/>
                <w:lang w:val="en-US" w:eastAsia="zh-CN" w:bidi="ar-SA"/>
              </w:rPr>
            </w:pPr>
            <w:r>
              <w:rPr>
                <w:rFonts w:hint="eastAsia"/>
                <w:color w:val="auto"/>
                <w:sz w:val="21"/>
                <w:szCs w:val="21"/>
                <w:highlight w:val="none"/>
              </w:rPr>
              <w:t>7k 厚度</w:t>
            </w:r>
            <w:r>
              <w:rPr>
                <w:rFonts w:hint="eastAsia"/>
                <w:color w:val="auto"/>
                <w:sz w:val="21"/>
                <w:szCs w:val="21"/>
                <w:highlight w:val="none"/>
                <w:lang w:val="en-US" w:eastAsia="zh-CN"/>
              </w:rPr>
              <w:t>0.6</w:t>
            </w:r>
            <w:r>
              <w:rPr>
                <w:rFonts w:hint="eastAsia"/>
                <w:color w:val="auto"/>
                <w:sz w:val="21"/>
                <w:szCs w:val="21"/>
                <w:highlight w:val="none"/>
              </w:rPr>
              <w:t>mm</w:t>
            </w:r>
          </w:p>
        </w:tc>
        <w:tc>
          <w:tcPr>
            <w:tcW w:w="795"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249</w:t>
            </w:r>
          </w:p>
        </w:tc>
        <w:tc>
          <w:tcPr>
            <w:tcW w:w="1562"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1"/>
                <w:szCs w:val="21"/>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9295" cy="461645"/>
                  <wp:effectExtent l="0" t="0" r="14605" b="14605"/>
                  <wp:docPr id="118" name="图片 104" descr="dc71944f323e6db621bf94ae9f69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04" descr="dc71944f323e6db621bf94ae9f69bb5"/>
                          <pic:cNvPicPr>
                            <a:picLocks noChangeAspect="1"/>
                          </pic:cNvPicPr>
                        </pic:nvPicPr>
                        <pic:blipFill>
                          <a:blip r:embed="rId10"/>
                          <a:stretch>
                            <a:fillRect/>
                          </a:stretch>
                        </pic:blipFill>
                        <pic:spPr>
                          <a:xfrm>
                            <a:off x="0" y="0"/>
                            <a:ext cx="709295" cy="4616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886" w:type="dxa"/>
            <w:vMerge w:val="restart"/>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金属落水系统</w:t>
            </w: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挡叶网</w:t>
            </w:r>
          </w:p>
        </w:tc>
        <w:tc>
          <w:tcPr>
            <w:tcW w:w="1830" w:type="dxa"/>
            <w:noWrap w:val="0"/>
            <w:vAlign w:val="center"/>
          </w:tcPr>
          <w:p>
            <w:pPr>
              <w:jc w:val="center"/>
              <w:rPr>
                <w:rFonts w:hint="default" w:ascii="仿宋" w:hAnsi="仿宋" w:eastAsia="仿宋" w:cs="仿宋"/>
                <w:color w:val="auto"/>
                <w:kern w:val="2"/>
                <w:sz w:val="22"/>
                <w:szCs w:val="22"/>
                <w:highlight w:val="none"/>
                <w:lang w:val="en-US" w:eastAsia="zh-CN" w:bidi="ar-SA"/>
              </w:rPr>
            </w:pPr>
            <w:r>
              <w:rPr>
                <w:rFonts w:hint="eastAsia"/>
                <w:color w:val="auto"/>
                <w:highlight w:val="none"/>
              </w:rPr>
              <w:t>7K有封边</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2180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06120" cy="372110"/>
                  <wp:effectExtent l="0" t="0" r="17780" b="8890"/>
                  <wp:docPr id="119" name="图片 105" descr="b0e75725dfaa1749c22e06a6db65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05" descr="b0e75725dfaa1749c22e06a6db6588b"/>
                          <pic:cNvPicPr>
                            <a:picLocks noChangeAspect="1"/>
                          </pic:cNvPicPr>
                        </pic:nvPicPr>
                        <pic:blipFill>
                          <a:blip r:embed="rId11"/>
                          <a:stretch>
                            <a:fillRect/>
                          </a:stretch>
                        </pic:blipFill>
                        <pic:spPr>
                          <a:xfrm>
                            <a:off x="0" y="0"/>
                            <a:ext cx="706120" cy="3721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雨水管</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0.9</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米</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3208</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549275"/>
                  <wp:effectExtent l="0" t="0" r="13335" b="3175"/>
                  <wp:docPr id="120" name="图片 106" descr="057b06448c1ceaf7882e8530b62c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06" descr="057b06448c1ceaf7882e8530b62c14f"/>
                          <pic:cNvPicPr>
                            <a:picLocks noChangeAspect="1"/>
                          </pic:cNvPicPr>
                        </pic:nvPicPr>
                        <pic:blipFill>
                          <a:blip r:embed="rId12"/>
                          <a:stretch>
                            <a:fillRect/>
                          </a:stretch>
                        </pic:blipFill>
                        <pic:spPr>
                          <a:xfrm>
                            <a:off x="0" y="0"/>
                            <a:ext cx="710565" cy="5492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管卡</w:t>
            </w:r>
          </w:p>
        </w:tc>
        <w:tc>
          <w:tcPr>
            <w:tcW w:w="1830"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60*8</w:t>
            </w:r>
            <w:r>
              <w:rPr>
                <w:rFonts w:hint="eastAsia" w:ascii="仿宋" w:hAnsi="仿宋" w:eastAsia="仿宋" w:cs="仿宋"/>
                <w:color w:val="auto"/>
                <w:sz w:val="22"/>
                <w:szCs w:val="22"/>
                <w:highlight w:val="none"/>
                <w:lang w:val="en-US" w:eastAsia="zh-CN"/>
              </w:rPr>
              <w:t>0</w:t>
            </w:r>
            <w:r>
              <w:rPr>
                <w:rFonts w:hint="default" w:ascii="仿宋" w:hAnsi="仿宋" w:eastAsia="仿宋" w:cs="仿宋"/>
                <w:color w:val="auto"/>
                <w:sz w:val="22"/>
                <w:szCs w:val="22"/>
                <w:highlight w:val="none"/>
                <w:lang w:val="en-US" w:eastAsia="zh-CN"/>
              </w:rPr>
              <w:t>厚度0.7mm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2592</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24510"/>
                  <wp:effectExtent l="0" t="0" r="12700" b="8890"/>
                  <wp:docPr id="121" name="图片 107" descr="b1e9e67832a0ac9cb4cd5891b872b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07" descr="b1e9e67832a0ac9cb4cd5891b872bd7"/>
                          <pic:cNvPicPr>
                            <a:picLocks noChangeAspect="1"/>
                          </pic:cNvPicPr>
                        </pic:nvPicPr>
                        <pic:blipFill>
                          <a:blip r:embed="rId13"/>
                          <a:stretch>
                            <a:fillRect/>
                          </a:stretch>
                        </pic:blipFill>
                        <pic:spPr>
                          <a:xfrm>
                            <a:off x="0" y="0"/>
                            <a:ext cx="711200" cy="5245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65°正弯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1650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79755"/>
                  <wp:effectExtent l="0" t="0" r="12700" b="10795"/>
                  <wp:docPr id="122" name="图片 108" descr="8a68f9e13b843a08ef7aca51283e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08" descr="8a68f9e13b843a08ef7aca51283e941"/>
                          <pic:cNvPicPr>
                            <a:picLocks noChangeAspect="1"/>
                          </pic:cNvPicPr>
                        </pic:nvPicPr>
                        <pic:blipFill>
                          <a:blip r:embed="rId14"/>
                          <a:stretch>
                            <a:fillRect/>
                          </a:stretch>
                        </pic:blipFill>
                        <pic:spPr>
                          <a:xfrm>
                            <a:off x="0" y="0"/>
                            <a:ext cx="711200" cy="5797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65°侧弯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275</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648335"/>
                  <wp:effectExtent l="0" t="0" r="12700" b="18415"/>
                  <wp:docPr id="123" name="图片 109" descr="45320a3e08cd47884c6a33dede8e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09" descr="45320a3e08cd47884c6a33dede8e277"/>
                          <pic:cNvPicPr>
                            <a:picLocks noChangeAspect="1"/>
                          </pic:cNvPicPr>
                        </pic:nvPicPr>
                        <pic:blipFill>
                          <a:blip r:embed="rId15"/>
                          <a:stretch>
                            <a:fillRect/>
                          </a:stretch>
                        </pic:blipFill>
                        <pic:spPr>
                          <a:xfrm>
                            <a:off x="0" y="0"/>
                            <a:ext cx="711200" cy="64833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90°正弯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82295"/>
                  <wp:effectExtent l="0" t="0" r="12700" b="8255"/>
                  <wp:docPr id="124" name="图片 110" descr="70935301dd6c6878e18d54eb2240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10" descr="70935301dd6c6878e18d54eb2240a1a"/>
                          <pic:cNvPicPr>
                            <a:picLocks noChangeAspect="1"/>
                          </pic:cNvPicPr>
                        </pic:nvPicPr>
                        <pic:blipFill>
                          <a:blip r:embed="rId16"/>
                          <a:stretch>
                            <a:fillRect/>
                          </a:stretch>
                        </pic:blipFill>
                        <pic:spPr>
                          <a:xfrm>
                            <a:off x="0" y="0"/>
                            <a:ext cx="711200" cy="5822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90°侧弯</w:t>
            </w:r>
          </w:p>
        </w:tc>
        <w:tc>
          <w:tcPr>
            <w:tcW w:w="1830" w:type="dxa"/>
            <w:noWrap w:val="0"/>
            <w:vAlign w:val="center"/>
          </w:tcPr>
          <w:p>
            <w:pPr>
              <w:jc w:val="center"/>
              <w:rPr>
                <w:rFonts w:hint="default"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1.8</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0565" cy="653415"/>
                  <wp:effectExtent l="0" t="0" r="13335" b="13335"/>
                  <wp:docPr id="125" name="图片 125" descr="9b7ef94badb2b568599b60b14496d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9b7ef94badb2b568599b60b14496d55"/>
                          <pic:cNvPicPr>
                            <a:picLocks noChangeAspect="1"/>
                          </pic:cNvPicPr>
                        </pic:nvPicPr>
                        <pic:blipFill>
                          <a:blip r:embed="rId17"/>
                          <a:stretch>
                            <a:fillRect/>
                          </a:stretch>
                        </pic:blipFill>
                        <pic:spPr>
                          <a:xfrm>
                            <a:off x="0" y="0"/>
                            <a:ext cx="710565" cy="6534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管连接件</w:t>
            </w:r>
          </w:p>
        </w:tc>
        <w:tc>
          <w:tcPr>
            <w:tcW w:w="1830" w:type="dxa"/>
            <w:noWrap w:val="0"/>
            <w:vAlign w:val="center"/>
          </w:tcPr>
          <w:p>
            <w:pPr>
              <w:jc w:val="center"/>
              <w:rPr>
                <w:rFonts w:hint="eastAsia"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w:t>
            </w:r>
            <w:r>
              <w:rPr>
                <w:rFonts w:hint="eastAsia"/>
                <w:color w:val="auto"/>
                <w:highlight w:val="none"/>
                <w:lang w:val="en-US" w:eastAsia="zh-CN"/>
              </w:rPr>
              <w:t>1.6</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850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636270"/>
                  <wp:effectExtent l="0" t="0" r="12700" b="11430"/>
                  <wp:docPr id="126" name="图片 112" descr="b82e214d79eda4dffd29fbd8bcd41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12" descr="b82e214d79eda4dffd29fbd8bcd412e"/>
                          <pic:cNvPicPr>
                            <a:picLocks noChangeAspect="1"/>
                          </pic:cNvPicPr>
                        </pic:nvPicPr>
                        <pic:blipFill>
                          <a:blip r:embed="rId18"/>
                          <a:stretch>
                            <a:fillRect/>
                          </a:stretch>
                        </pic:blipFill>
                        <pic:spPr>
                          <a:xfrm>
                            <a:off x="0" y="0"/>
                            <a:ext cx="711200" cy="6362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w:t>
            </w:r>
          </w:p>
        </w:tc>
        <w:tc>
          <w:tcPr>
            <w:tcW w:w="886" w:type="dxa"/>
            <w:vMerge w:val="continue"/>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650" w:type="dxa"/>
            <w:noWrap w:val="0"/>
            <w:vAlign w:val="center"/>
          </w:tcPr>
          <w:p>
            <w:pPr>
              <w:tabs>
                <w:tab w:val="left" w:pos="13270"/>
              </w:tabs>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下水器</w:t>
            </w:r>
          </w:p>
        </w:tc>
        <w:tc>
          <w:tcPr>
            <w:tcW w:w="1830" w:type="dxa"/>
            <w:noWrap w:val="0"/>
            <w:vAlign w:val="center"/>
          </w:tcPr>
          <w:p>
            <w:pPr>
              <w:jc w:val="center"/>
              <w:rPr>
                <w:rFonts w:hint="eastAsia" w:ascii="仿宋" w:hAnsi="仿宋" w:eastAsia="仿宋" w:cs="仿宋"/>
                <w:color w:val="auto"/>
                <w:sz w:val="22"/>
                <w:szCs w:val="22"/>
                <w:highlight w:val="none"/>
                <w:lang w:val="en-US" w:eastAsia="zh-CN"/>
              </w:rPr>
            </w:pPr>
            <w:r>
              <w:rPr>
                <w:rFonts w:hint="eastAsia"/>
                <w:color w:val="auto"/>
                <w:highlight w:val="none"/>
              </w:rPr>
              <w:t>60*8</w:t>
            </w:r>
            <w:r>
              <w:rPr>
                <w:rFonts w:hint="eastAsia"/>
                <w:color w:val="auto"/>
                <w:highlight w:val="none"/>
                <w:lang w:val="en-US" w:eastAsia="zh-CN"/>
              </w:rPr>
              <w:t>0</w:t>
            </w:r>
            <w:r>
              <w:rPr>
                <w:rFonts w:hint="eastAsia"/>
                <w:color w:val="auto"/>
                <w:highlight w:val="none"/>
              </w:rPr>
              <w:t>厚度0.</w:t>
            </w:r>
            <w:r>
              <w:rPr>
                <w:rFonts w:hint="eastAsia"/>
                <w:color w:val="auto"/>
                <w:highlight w:val="none"/>
                <w:lang w:val="en-US" w:eastAsia="zh-CN"/>
              </w:rPr>
              <w:t>6</w:t>
            </w:r>
            <w:r>
              <w:rPr>
                <w:rFonts w:hint="eastAsia"/>
                <w:color w:val="auto"/>
                <w:highlight w:val="none"/>
              </w:rPr>
              <w:t>mm</w:t>
            </w:r>
          </w:p>
        </w:tc>
        <w:tc>
          <w:tcPr>
            <w:tcW w:w="795"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个</w:t>
            </w:r>
          </w:p>
        </w:tc>
        <w:tc>
          <w:tcPr>
            <w:tcW w:w="134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213</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vMerge w:val="continue"/>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drawing>
                <wp:inline distT="0" distB="0" distL="114300" distR="114300">
                  <wp:extent cx="711200" cy="555625"/>
                  <wp:effectExtent l="0" t="0" r="12700" b="15875"/>
                  <wp:docPr id="127" name="图片 113" descr="d0f2f33c0b16b7cd3a7dca58e50d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13" descr="d0f2f33c0b16b7cd3a7dca58e50d629"/>
                          <pic:cNvPicPr>
                            <a:picLocks noChangeAspect="1"/>
                          </pic:cNvPicPr>
                        </pic:nvPicPr>
                        <pic:blipFill>
                          <a:blip r:embed="rId19"/>
                          <a:stretch>
                            <a:fillRect/>
                          </a:stretch>
                        </pic:blipFill>
                        <pic:spPr>
                          <a:xfrm>
                            <a:off x="0" y="0"/>
                            <a:ext cx="711200" cy="555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9"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c>
          <w:tcPr>
            <w:tcW w:w="886"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烟道</w:t>
            </w:r>
          </w:p>
        </w:tc>
        <w:tc>
          <w:tcPr>
            <w:tcW w:w="1650"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钢筋混凝土</w:t>
            </w:r>
          </w:p>
        </w:tc>
        <w:tc>
          <w:tcPr>
            <w:tcW w:w="1830"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250*250厚度5cm</w:t>
            </w:r>
          </w:p>
        </w:tc>
        <w:tc>
          <w:tcPr>
            <w:tcW w:w="795"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m</w:t>
            </w:r>
          </w:p>
        </w:tc>
        <w:tc>
          <w:tcPr>
            <w:tcW w:w="1342"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700</w:t>
            </w:r>
          </w:p>
        </w:tc>
        <w:tc>
          <w:tcPr>
            <w:tcW w:w="1562"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noWrap w:val="0"/>
            <w:vAlign w:val="center"/>
          </w:tcPr>
          <w:p>
            <w:pPr>
              <w:tabs>
                <w:tab w:val="left" w:pos="13270"/>
              </w:tabs>
              <w:jc w:val="center"/>
              <w:rPr>
                <w:rFonts w:hint="eastAsia" w:ascii="仿宋" w:hAnsi="仿宋" w:eastAsia="仿宋" w:cs="仿宋"/>
                <w:color w:val="auto"/>
                <w:sz w:val="22"/>
                <w:szCs w:val="22"/>
                <w:highlight w:val="none"/>
              </w:rPr>
            </w:pPr>
          </w:p>
        </w:tc>
        <w:tc>
          <w:tcPr>
            <w:tcW w:w="1283"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64" w:type="dxa"/>
            <w:gridSpan w:val="7"/>
            <w:noWrap w:val="0"/>
            <w:vAlign w:val="center"/>
          </w:tcPr>
          <w:p>
            <w:pPr>
              <w:tabs>
                <w:tab w:val="left" w:pos="13270"/>
              </w:tabs>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合计</w:t>
            </w:r>
          </w:p>
        </w:tc>
        <w:tc>
          <w:tcPr>
            <w:tcW w:w="1214" w:type="dxa"/>
            <w:noWrap w:val="0"/>
            <w:vAlign w:val="center"/>
          </w:tcPr>
          <w:p>
            <w:pPr>
              <w:tabs>
                <w:tab w:val="left" w:pos="13270"/>
              </w:tabs>
              <w:jc w:val="center"/>
              <w:rPr>
                <w:rFonts w:hint="default" w:ascii="仿宋" w:hAnsi="仿宋" w:eastAsia="仿宋" w:cs="仿宋"/>
                <w:color w:val="auto"/>
                <w:sz w:val="22"/>
                <w:szCs w:val="22"/>
                <w:highlight w:val="none"/>
                <w:lang w:val="en-US" w:eastAsia="zh-CN"/>
              </w:rPr>
            </w:pPr>
          </w:p>
        </w:tc>
        <w:tc>
          <w:tcPr>
            <w:tcW w:w="583" w:type="dxa"/>
            <w:noWrap w:val="0"/>
            <w:vAlign w:val="center"/>
          </w:tcPr>
          <w:p>
            <w:pPr>
              <w:tabs>
                <w:tab w:val="left" w:pos="13270"/>
              </w:tabs>
              <w:jc w:val="center"/>
              <w:rPr>
                <w:rFonts w:hint="eastAsia" w:ascii="仿宋" w:hAnsi="仿宋" w:eastAsia="仿宋" w:cs="仿宋"/>
                <w:color w:val="auto"/>
                <w:sz w:val="22"/>
                <w:szCs w:val="22"/>
                <w:highlight w:val="none"/>
                <w:lang w:val="en-US" w:eastAsia="zh-CN"/>
              </w:rPr>
            </w:pPr>
          </w:p>
        </w:tc>
        <w:tc>
          <w:tcPr>
            <w:tcW w:w="1283" w:type="dxa"/>
            <w:noWrap w:val="0"/>
            <w:vAlign w:val="center"/>
          </w:tcPr>
          <w:p>
            <w:pPr>
              <w:tabs>
                <w:tab w:val="left" w:pos="13270"/>
              </w:tabs>
              <w:jc w:val="center"/>
              <w:rPr>
                <w:rFonts w:hint="eastAsia" w:ascii="仿宋" w:hAnsi="仿宋" w:eastAsia="仿宋" w:cs="仿宋"/>
                <w:color w:val="auto"/>
                <w:sz w:val="22"/>
                <w:szCs w:val="22"/>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5"/>
        <w:spacing w:line="360" w:lineRule="auto"/>
        <w:jc w:val="center"/>
        <w:outlineLvl w:val="0"/>
        <w:rPr>
          <w:rFonts w:hint="eastAsia" w:ascii="宋体" w:hAnsi="宋体" w:eastAsia="宋体" w:cs="宋体"/>
          <w:color w:val="auto"/>
          <w:kern w:val="0"/>
          <w:sz w:val="24"/>
          <w:szCs w:val="24"/>
        </w:rPr>
      </w:pPr>
      <w:bookmarkStart w:id="16" w:name="_Toc2126"/>
      <w:bookmarkStart w:id="17" w:name="_Toc15603"/>
      <w:bookmarkStart w:id="18" w:name="_Toc27003"/>
      <w:bookmarkStart w:id="19" w:name="_Toc8041"/>
      <w:bookmarkStart w:id="20" w:name="_Toc4838"/>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C74BE954"/>
    <w:multiLevelType w:val="singleLevel"/>
    <w:tmpl w:val="C74BE954"/>
    <w:lvl w:ilvl="0" w:tentative="0">
      <w:start w:val="2"/>
      <w:numFmt w:val="decimal"/>
      <w:suff w:val="nothing"/>
      <w:lvlText w:val="%1、"/>
      <w:lvlJc w:val="left"/>
      <w:pPr>
        <w:ind w:left="420" w:firstLine="0"/>
      </w:pPr>
    </w:lvl>
  </w:abstractNum>
  <w:abstractNum w:abstractNumId="2">
    <w:nsid w:val="E286E8F0"/>
    <w:multiLevelType w:val="singleLevel"/>
    <w:tmpl w:val="E286E8F0"/>
    <w:lvl w:ilvl="0" w:tentative="0">
      <w:start w:val="5"/>
      <w:numFmt w:val="chineseCounting"/>
      <w:suff w:val="space"/>
      <w:lvlText w:val="第%1章"/>
      <w:lvlJc w:val="left"/>
      <w:rPr>
        <w:rFonts w:hint="eastAsia"/>
      </w:rPr>
    </w:lvl>
  </w:abstractNum>
  <w:abstractNum w:abstractNumId="3">
    <w:nsid w:val="0000000A"/>
    <w:multiLevelType w:val="multilevel"/>
    <w:tmpl w:val="0000000A"/>
    <w:lvl w:ilvl="0" w:tentative="0">
      <w:start w:val="1"/>
      <w:numFmt w:val="japaneseCounting"/>
      <w:lvlText w:val="%1、"/>
      <w:lvlJc w:val="left"/>
      <w:pPr>
        <w:tabs>
          <w:tab w:val="left" w:pos="480"/>
        </w:tabs>
        <w:ind w:left="480" w:hanging="480"/>
      </w:pPr>
      <w:rPr>
        <w:rFonts w:hint="default"/>
        <w:lang w:val="en-US"/>
      </w:rPr>
    </w:lvl>
    <w:lvl w:ilvl="1" w:tentative="0">
      <w:start w:val="1"/>
      <w:numFmt w:val="decimal"/>
      <w:lvlText w:val="%2、"/>
      <w:lvlJc w:val="left"/>
      <w:pPr>
        <w:tabs>
          <w:tab w:val="left" w:pos="780"/>
        </w:tabs>
        <w:ind w:left="780" w:hanging="360"/>
      </w:pPr>
      <w:rPr>
        <w:rFonts w:hint="eastAsia"/>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4A3E04"/>
    <w:rsid w:val="27E334E4"/>
    <w:rsid w:val="2E2508DD"/>
    <w:rsid w:val="30DF09C4"/>
    <w:rsid w:val="315129B8"/>
    <w:rsid w:val="330D43D7"/>
    <w:rsid w:val="33810EEB"/>
    <w:rsid w:val="35F04E8D"/>
    <w:rsid w:val="38FA2D16"/>
    <w:rsid w:val="392431AB"/>
    <w:rsid w:val="3B6D3E63"/>
    <w:rsid w:val="3BB053C8"/>
    <w:rsid w:val="3CAD07EE"/>
    <w:rsid w:val="3CFE4AEE"/>
    <w:rsid w:val="3D086084"/>
    <w:rsid w:val="3D1244A5"/>
    <w:rsid w:val="3DA91236"/>
    <w:rsid w:val="3F4E4D93"/>
    <w:rsid w:val="40831CAD"/>
    <w:rsid w:val="43A22D23"/>
    <w:rsid w:val="47043556"/>
    <w:rsid w:val="48B87BF5"/>
    <w:rsid w:val="48B972F3"/>
    <w:rsid w:val="4A6A6325"/>
    <w:rsid w:val="4C405D8D"/>
    <w:rsid w:val="4C570EAE"/>
    <w:rsid w:val="4C8D1B15"/>
    <w:rsid w:val="4CF8129A"/>
    <w:rsid w:val="4FB63413"/>
    <w:rsid w:val="514364B2"/>
    <w:rsid w:val="524F3D6B"/>
    <w:rsid w:val="526813EF"/>
    <w:rsid w:val="529B69C6"/>
    <w:rsid w:val="54625F54"/>
    <w:rsid w:val="57217F7A"/>
    <w:rsid w:val="57351573"/>
    <w:rsid w:val="57556FB3"/>
    <w:rsid w:val="586A0CB6"/>
    <w:rsid w:val="5A606D0E"/>
    <w:rsid w:val="5ADC30C6"/>
    <w:rsid w:val="5CF525C4"/>
    <w:rsid w:val="5E954A0B"/>
    <w:rsid w:val="5EBB7FE7"/>
    <w:rsid w:val="65ED6CD8"/>
    <w:rsid w:val="6C114B33"/>
    <w:rsid w:val="6D815849"/>
    <w:rsid w:val="70F4419F"/>
    <w:rsid w:val="739521C4"/>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 w:type="character" w:customStyle="1" w:styleId="36">
    <w:name w:val="font61"/>
    <w:qFormat/>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28</Pages>
  <Words>7566</Words>
  <Characters>8207</Characters>
  <Lines>1</Lines>
  <Paragraphs>1</Paragraphs>
  <TotalTime>0</TotalTime>
  <ScaleCrop>false</ScaleCrop>
  <LinksUpToDate>false</LinksUpToDate>
  <CharactersWithSpaces>9125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2023-04-28T10:23:03Z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B69072FEFB544D33BEEFE9FCA64DFD02_13</vt:lpwstr>
  </property>
</Properties>
</file>